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AMVerkRV</w:t>
      </w:r>
    </w:p>
    <w:p>
      <w:r>
        <w:rPr>
          <w:color w:val="555555"/>
          <w:sz w:val="18"/>
        </w:rPr>
        <w:t xml:space="preserve">Verordnung über apothekenpflichtige und freiverkäufliche Arzneimittel</w:t>
      </w:r>
    </w:p>
    <w:p>
      <w:r>
        <w:rPr>
          <w:color w:val="555555"/>
          <w:sz w:val="18"/>
        </w:rPr>
        <w:t xml:space="preserve">Stand: 10.06.2019 (konsolidierte Textfassung, kein amtliches Inkrafttretensdatum)</w:t>
      </w:r>
    </w:p>
    <w:p>
      <w:r>
        <w:t xml:space="preserve">(1) Folgende Arzneimittel im Sinne des § 2 Abs. 1 oder Abs. 2 Nr. 1 des Arzneimittelgesetzes, die dazu bestimmt sind, zur Beseitigung oder Linderung von Krankheiten, Leiden, Körperschäden oder krankhaften Beschwerden zu dienen, werden für den Verkehr außerhalb der Apotheken freigegeben:</w:t>
      </w:r>
    </w:p>
    <w:p>
      <w:pPr>
        <w:ind w:left="420"/>
      </w:pPr>
      <w:r>
        <w:t xml:space="preserve">1. Stoffe und Zubereitungen aus Stoffen sowie Arzneimittel im Sinne des § 2 Abs. 2 Nr. 1 des Arzneimittelgesetzes, die in der Anlage 1a zu dieser Verordnung bezeichnet sind, nach näherer Bestimmung dieser Anlage; die Stoffe und Zubereitungen aus Stoffen dürfen miteinander oder mit anderen Stoffen oder Zubereitungen aus Stoffen nur gemischt werden, soweit dies in der Anlage ausdrücklich gestattet ist.</w:t>
      </w:r>
    </w:p>
    <w:p>
      <w:pPr>
        <w:ind w:left="420"/>
      </w:pPr>
      <w:r>
        <w:t xml:space="preserve">2. Destillate, ausgenommen Trockendestillate, aus Mischungen von Pflanzen, Pflanzenteilen, ätherischen Ölen, Kampfer, Menthol, Balsamen oder Harzen als Fertigarzneimittel, es sei denn, daß sie aus verschreibungspflichtigen oder den in der Anlage 1b zu dieser Verordnung bezeichneten Pflanzen, deren Teilen oder Bestandteilen gewonnen sind und</w:t>
      </w:r>
    </w:p>
    <w:p>
      <w:pPr>
        <w:ind w:left="420"/>
      </w:pPr>
      <w:r>
        <w:t xml:space="preserve">3. Pflanzen und Pflanzenteile in Form von Dragees, Kapseln oder Tabletten als Fertigarzneimittel unter Zusatz arzneilich nicht wirksamer Stoffe oder Zubereitungen aus Stoffen, wenn sie aus höchstens vier der in der Anlage 1c zu dieser Verordnung bezeichneten Pflanzen und Pflanzenteilen hergestellt sind und der Durchmesser des Drageekerns oder der Tablette mindestens 3 Millimeter beträgt.</w:t>
      </w:r>
    </w:p>
    <w:p>
      <w:r>
        <w:t xml:space="preserve">(2) Ferner werden für den Verkehr außerhalb der Apotheken lösliche Teeaufgußpulver als wässrige Gesamtauszüge in Form von Fertigarzneimitteln freigegeben, die aus</w:t>
      </w:r>
    </w:p>
    <w:p>
      <w:pPr>
        <w:ind w:left="420"/>
      </w:pPr>
      <w:r>
        <w:t xml:space="preserve">1. einer der in der Anlage 1d zu dieser Verordnung bezeichneten Pflanzen oder deren Teilen hergestellt sind oder</w:t>
      </w:r>
    </w:p>
    <w:p>
      <w:pPr>
        <w:ind w:left="420"/>
      </w:pPr>
      <w:r>
        <w:t xml:space="preserve">2. Mischungen von höchstens sieben der in den Anlagen 1d und 1e zu dieser Verordnung bezeichneten Pflanzen oder deren Teilen hergestellt sind und ausschließlich zur Anwendung als "Hustentee", "Brusttee", "Husten- und Brusttee", "Magentee", "Darmtee", "Magen- und Darmtee", "Beruhigungstee" oder "harntreibender Tee" in den Verkehr gebracht werden.</w:t>
      </w:r>
    </w:p>
    <w:p>
      <w:r>
        <w:t xml:space="preserve">Der Zusatz von arzneilich nicht wirksamen Stoffen oder Zubereitungen aus Stoffen ist zulässig. Die bei der Herstellung verlorengegangenen ätherischen Öle der Ausgangsdrogen dürfen nach Art und Menge ersetzt werden.</w:t>
      </w:r>
    </w:p>
    <w:p>
      <w:r>
        <w:rPr>
          <w:color w:val="555555"/>
          <w:sz w:val="17"/>
        </w:rPr>
        <w:t xml:space="preserve">Zitiervorschlag: § 1 AMVerkRV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https://recht.nulegal.eu/gesetze/AMVerkRV/1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