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AMVV</w:t>
      </w:r>
    </w:p>
    <w:p>
      <w:r>
        <w:rPr>
          <w:color w:val="555555"/>
          <w:sz w:val="18"/>
        </w:rPr>
        <w:t xml:space="preserve">Arzneimittelverschreibungsverordnung</w:t>
      </w:r>
    </w:p>
    <w:p>
      <w:r>
        <w:rPr>
          <w:color w:val="555555"/>
          <w:sz w:val="18"/>
        </w:rPr>
        <w:t xml:space="preserve">Stand: 10.06.2019 (konsolidierte Textfassung, kein amtliches Inkrafttretensdatum)</w:t>
      </w:r>
    </w:p>
    <w:p>
      <w:r>
        <w:t xml:space="preserve">Die Verschreibung eines Arzneimittels im Sinne des § 2 Abs. 3 ist in zwei Ausfertigungen (Original und Durchschrift) zu erstellen. Das Original und die Durchschrift ist dem pharmazeutischen Unternehmer zu übermitteln. Dieser hat auf Original und Durchschrift die fortlaufenden Nummern der abgegebenen Packungen nach § 47a Abs. 2 Satz 1 des Arzneimittelgesetzes und das Datum der Abgabe einzutragen und die Durchschrift mit dem Arzneimittel der Einrichtung im Sinne des § 13 des Schwangerschaftskonfliktgesetzes zuzustellen. Die Originale verbleiben bei dem pharmazeutischen Unternehmer. Dieser hat die Originale zeitlich geordnet fünf Jahre aufzubewahren und der zuständigen Behörde auf Verlangen vorzulegen. Die verschreibende Person hat auf der Durchschrift der Verschreibung das Datum des Erhalts und der Anwendung des Arzneimittels sowie die Zuordnung zu den konkreten Patientenakten in anonymisierter Form zu vermerken. Sie hat die Durchschriften zeitlich geordnet fünf Jahre aufzubewahren und der zuständigen Behörde auf Verlangen zur Einsichtnahme vorzulegen. Für Verschreibungen in elektronischer Form gelten die Sätze 1 bis 7 entsprechend.</w:t>
      </w:r>
    </w:p>
    <w:p>
      <w:r>
        <w:rPr>
          <w:color w:val="555555"/>
          <w:sz w:val="17"/>
        </w:rPr>
        <w:t xml:space="preserve">Zitiervorschlag: § 3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