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AMVV</w:t>
      </w:r>
    </w:p>
    <w:p>
      <w:r>
        <w:rPr>
          <w:color w:val="555555"/>
          <w:sz w:val="18"/>
        </w:rPr>
        <w:t xml:space="preserve">Arzneimittelverschreibungsverordnung</w:t>
      </w:r>
    </w:p>
    <w:p>
      <w:r>
        <w:rPr>
          <w:color w:val="555555"/>
          <w:sz w:val="18"/>
        </w:rPr>
        <w:t xml:space="preserve">Stand: 14.10.2025 (konsolidierte Textfassung, kein amtliches Inkrafttretensdatum)</w:t>
      </w:r>
    </w:p>
    <w:p>
      <w:r>
        <w:t xml:space="preserve">(1) Die Verschreibung muss enthalten:</w:t>
      </w:r>
    </w:p>
    <w:p>
      <w:pPr>
        <w:ind w:left="420"/>
      </w:pPr>
      <w:r>
        <w:t xml:space="preserve">1. Name, Vorname, Berufsbezeichnung und Anschrift der Praxis, der Klinik oder einer sonstigen Gesundheitseinrichtung der verschreibenden ärztlichen, tierärztlichen oder zahnärztlichen Person (verschreibende Person) oder, sofern diese nicht in einer Gesundheitseinrichtung tätig ist, die Anschrift der verschreibenden Person, jeweils einschließlich einer Telefonnummer zur Kontaktaufnahme,</w:t>
      </w:r>
    </w:p>
    <w:p>
      <w:pPr>
        <w:ind w:left="420"/>
      </w:pPr>
      <w:r>
        <w:t xml:space="preserve">2. Datum der Ausfertigung oder, bei Verschreibungen in elektronischer Form, das Datum der qualifizierten elektronischen Signatur,</w:t>
      </w:r>
    </w:p>
    <w:p>
      <w:pPr>
        <w:ind w:left="420"/>
      </w:pPr>
      <w:r>
        <w:t xml:space="preserve">3. Name und Geburtsdatum der Person, für die das Arzneimittel bestimmt ist,</w:t>
      </w:r>
    </w:p>
    <w:p>
      <w:pPr>
        <w:ind w:left="420"/>
      </w:pPr>
      <w:r>
        <w:t xml:space="preserve">4. Bezeichnung des Fertigarzneimittels oder des Wirkstoffes einschließlich der Stärke,</w:t>
      </w:r>
    </w:p>
    <w:p>
      <w:pPr>
        <w:ind w:left="420"/>
      </w:pPr>
      <w:r>
        <w:t xml:space="preserve">4a. bei einem Arzneimittel, das in der Apotheke hergestellt werden soll, die Zusammensetzung nach Art und Menge oder die Bezeichnung des Fertigarzneimittels, von dem eine Teilmenge abgegeben werden soll, sowie eine Gebrauchsanweisung; einer Gebrauchsanweisung bedarf es nicht, wenn das Arzneimittel unmittelbar an die verschreibende Person abgegeben wird;</w:t>
      </w:r>
    </w:p>
    <w:p>
      <w:pPr>
        <w:ind w:left="420"/>
      </w:pPr>
      <w:r>
        <w:t xml:space="preserve">5. Darreichungsform, sofern dazu die Bezeichnung nach Nummer 4 oder Nummer 4a nicht eindeutig ist,</w:t>
      </w:r>
    </w:p>
    <w:p>
      <w:pPr>
        <w:ind w:left="420"/>
      </w:pPr>
      <w:r>
        <w:t xml:space="preserve">6. abzugebende Menge des verschriebenen Arzneimittels,</w:t>
      </w:r>
    </w:p>
    <w:p>
      <w:pPr>
        <w:ind w:left="420"/>
      </w:pPr>
      <w:r>
        <w:t xml:space="preserve">6a. sofern das Arzneimittel zur wiederholten Abgabe auf dieselbe Verschreibung bestimmt sein soll, einen Vermerk mit der Anzahl der Wiederholungen,</w:t>
      </w:r>
    </w:p>
    <w:p>
      <w:pPr>
        <w:ind w:left="420"/>
      </w:pPr>
      <w:r>
        <w:t xml:space="preserve">7. die Dosierung; dies gilt nicht, wenn dem Patienten ein Medikationsplan, der das verschriebene Arzneimittel umfasst, oder eine entsprechende schriftliche Dosierungsanweisung einer verschreibenden Person vorliegt und wenn die verschreibende Person dies in der Verschreibung kenntlich gemacht hat oder wenn das verschriebene Arzneimittel unmittelbar an die verschreibende Person abgegeben wird,</w:t>
      </w:r>
    </w:p>
    <w:p>
      <w:pPr>
        <w:ind w:left="420"/>
      </w:pPr>
      <w:r>
        <w:t xml:space="preserve">8. Gültigkeitsdauer der Verschreibung,</w:t>
      </w:r>
    </w:p>
    <w:p>
      <w:pPr>
        <w:ind w:left="420"/>
      </w:pPr>
      <w:r>
        <w:t xml:space="preserve">9. bei tierärztlichen Verschreibungen zusätzlich</w:t>
      </w:r>
    </w:p>
    <w:p>
      <w:pPr>
        <w:ind w:left="780"/>
      </w:pPr>
      <w:r>
        <w:t xml:space="preserve">a) die Dosierung pro Tier und Tag,</w:t>
      </w:r>
    </w:p>
    <w:p>
      <w:pPr>
        <w:ind w:left="780"/>
      </w:pPr>
      <w:r>
        <w:t xml:space="preserve">b) die Dauer der Anwendung und</w:t>
      </w:r>
    </w:p>
    <w:p>
      <w:pPr>
        <w:ind w:left="780"/>
      </w:pPr>
      <w:r>
        <w:t xml:space="preserve">c) sofern das Arzneimittel zur Anwendung bei Tieren verschrieben wird, die der Gewinnung von Lebensmitteln dienen, die Indikation und die Wartezeit,</w:t>
      </w:r>
    </w:p>
    <w:p>
      <w:pPr>
        <w:ind w:left="420"/>
      </w:pPr>
      <w:r>
        <w:t xml:space="preserve">sowie anstelle der Angaben nach Nummer 3 der Name des Tierhalters und Zahl und Art der Tiere, bei denen das Arzneimittel angewendet werden soll, sowie bei Verschreibungen für Tiere, die der Gewinnung von Lebensmitteln dienen, die Identität der Tiere,</w:t>
      </w:r>
    </w:p>
    <w:p>
      <w:pPr>
        <w:ind w:left="420"/>
      </w:pPr>
      <w:r>
        <w:t xml:space="preserve">10. die eigenhändige Unterschrift der verschreibenden Person oder, bei Verschreibungen in elektronischer Form, deren qualifizierte elektronische Signatur.</w:t>
      </w:r>
    </w:p>
    <w:p>
      <w:r>
        <w:t xml:space="preserve">(1a) Den aus Deutschland stammenden ärztlichen oder zahnärztlichen Verschreibungen sind entsprechende Verschreibungen aus den Mitgliedstaaten der Europäischen Union, aus den Vertragsstaaten des Abkommens über den Europäischen Wirtschaftsraum und aus der Schweiz gleichgestellt, sofern diese die Angaben nach Absatz 1 aufweisen und dadurch ihre Authentizität und ihre Ausstellung durch eine dazu berechtigte ärztliche oder zahnärztliche Person nachweisen. Die Regelungen des § 3a sowie der Betäubungsmittel-Verschreibungsverordnung bleiben unberührt.</w:t>
      </w:r>
    </w:p>
    <w:p>
      <w:r>
        <w:t xml:space="preserve">(1b) Eine ärztliche oder zahnärztliche Verschreibung, die zu dem Zweck ausgestellt wird, in einem anderen Mitgliedstaat der Europäischen Union, in einem Vertragsstaat des Abkommens über den Europäischen Wirtschaftsraum oder in der Schweiz eingelöst zu werden, hat folgende Angaben zu enthalten:</w:t>
      </w:r>
    </w:p>
    <w:p>
      <w:pPr>
        <w:ind w:left="420"/>
      </w:pPr>
      <w:r>
        <w:t xml:space="preserve">1. Name, Vorname und Geburtsdatum der Person, für die das Arzneimittel bestimmt ist,</w:t>
      </w:r>
    </w:p>
    <w:p>
      <w:pPr>
        <w:ind w:left="420"/>
      </w:pPr>
      <w:r>
        <w:t xml:space="preserve">2. Datum der Ausfertigung,</w:t>
      </w:r>
    </w:p>
    <w:p>
      <w:pPr>
        <w:ind w:left="420"/>
      </w:pPr>
      <w:r>
        <w:t xml:space="preserve">3. Name, Vorname sowie eine die berufliche Qualifikation erkennen lassende Berufsbezeichnung der verschreibenden ärztlichen oder zahnärztlichen Person (verschreibende Person),</w:t>
      </w:r>
    </w:p>
    <w:p>
      <w:pPr>
        <w:ind w:left="420"/>
      </w:pPr>
      <w:r>
        <w:t xml:space="preserve">4. Anschrift der verschreibenden Person einschließlich der Bezeichnung des Mitgliedstaates, ihrer Telefon- oder Telefaxnummer unter Angabe der Ländervorwahl und ihrer E-Mail-Adresse,</w:t>
      </w:r>
    </w:p>
    <w:p>
      <w:pPr>
        <w:ind w:left="420"/>
      </w:pPr>
      <w:r>
        <w:t xml:space="preserve">5. handschriftliche oder digitale Unterschrift der verschreibenden Person je nach Medium der Verschreibung,</w:t>
      </w:r>
    </w:p>
    <w:p>
      <w:pPr>
        <w:ind w:left="420"/>
      </w:pPr>
      <w:r>
        <w:t xml:space="preserve">6. die nach Artikel 1 Nummer 21 der Richtlinie 2001/83/EG des Europäischen Parlaments und des Rates vom 6. November 2001 zur Schaffung eines Gemeinschaftskodexes für Humanarzneimittel (ABl. L 311 vom 28.11.2001, S. 67), die zuletzt durch die Richtlinie 2012/26/EU (ABl. L 299 vom 27.10.2012, S. 1) geändert worden ist, gebräuchliche Bezeichnung des Arzneimittels (internationaler Freiname); die Bezeichnung eines Fertigarzneimittels darf verwendet werden, wenn</w:t>
      </w:r>
    </w:p>
    <w:p>
      <w:pPr>
        <w:ind w:left="780"/>
      </w:pPr>
      <w:r>
        <w:t xml:space="preserve">a) das verschriebene Arzneimittel ein biologisches Arzneimittel nach Nummer 3.2.1.1. Buchstabe b des Anhangs I Teil 1 der Richtlinie 2001/83/EG ist oder</w:t>
      </w:r>
    </w:p>
    <w:p>
      <w:pPr>
        <w:ind w:left="780"/>
      </w:pPr>
      <w:r>
        <w:t xml:space="preserve">b) die verschreibende Person es für medizinisch erforderlich hält; in diesem Fall hat die Verschreibung eine kurze Begründung für die Verwendung der Fertigarzneimittelbezeichnung zu enthalten,</w:t>
      </w:r>
    </w:p>
    <w:p>
      <w:pPr>
        <w:ind w:left="420"/>
      </w:pPr>
      <w:r>
        <w:t xml:space="preserve">7. abzugebende Menge des verschriebenen Arzneimittels, seine Wirkstärke im Sinne der Richtlinie 2001/83/EG und die Darreichungsform,</w:t>
      </w:r>
    </w:p>
    <w:p>
      <w:pPr>
        <w:ind w:left="420"/>
      </w:pPr>
      <w:r>
        <w:t xml:space="preserve">8. Dosierung.</w:t>
      </w:r>
    </w:p>
    <w:p>
      <w:r>
        <w:t xml:space="preserve">(2) Ist die Verschreibung für den Praxisbedarf einer verschreibenden Person, für ein Krankenhaus, für Einrichtungen oder Teileinheiten von Einrichtungen des Rettungsdienstes, für Bordapotheken von Luftfahrzeugen gemäß § 1 Abs. 2 Nr. 1 und 2 der Betriebsordnung für Luftfahrtgerät vom 4. März 1970 (BGBl. I S. 262), die zuletzt durch Artikel 3 der Verordnung vom 29. Oktober 2015 (BGBl. I S. 1894) geändert worden ist, in der jeweils geltenden Fassung, für eine Tierklinik oder einen Zoo bestimmt, so genügt an Stelle der Angaben nach Absatz 1 Nr. 3, 7 und 9 ein Vermerk, dass die Verschreibung für eine dieser Einrichtungen erfolgt.</w:t>
      </w:r>
    </w:p>
    <w:p>
      <w:r>
        <w:t xml:space="preserve">(2a) Ist die Verschreibung für Arzneimittel mit dem Wirkstoff Naloxon, die zur nasalen Anwendung als Notfalltherapie bei bekannter oder vermuteter Opioid-Überdosierung zugelassen sind, für Einrichtungen der Drogen- und Suchthilfe, der Obdachlosenhilfe, des Strafvollzuges, der Zollbehörden, der Bundeswehr, der Ordnungsbehörden oder der Bundes- und Landespolizei bestimmt, so genügt an Stelle der Angaben nach Absatz 1 Nummer 3 und 7 ein Vermerk, dass die Verschreibung für eine dieser Einrichtungen erfolgt.</w:t>
      </w:r>
    </w:p>
    <w:p>
      <w:r>
        <w:t xml:space="preserve">(3) In die Verschreibung eines Arzneimittels, das zur Vornahme eines Schwangerschaftsabbruchs zugelassen ist und das nur in einer Einrichtung im Sinne des § 13 des Schwangerschaftskonfliktgesetzes angewendet werden darf, ist an Stelle der Angaben nach Absatz 1 Nr. 3 ein entsprechender Vermerk zu setzen.</w:t>
      </w:r>
    </w:p>
    <w:p>
      <w:r>
        <w:t xml:space="preserve">(3a) Bei Arzneimitteln, die den Wirkstoff Esketamin enthalten und die zur intranasalen Anwendung bestimmt sind, ist auf der Verschreibung durch die verschreibende Person zu vermerken, dass das Arzneimittel nicht an die Patientin oder den Patienten, sondern nur an die Arztpraxis oder die Klinik, der die verschreibende Person angehört, abgegeben werden darf. Fehlt auf der Verschreibung der Vermerk nach Satz 1, so kann der Apotheker oder die Apothekerin die Verschreibung um die Angaben nach Satz 1 ergänzen, wenn nach den für ihn oder sie erkennbaren Umständen ein dringender Fall vorliegt und eine Rücksprache mit der verschreibenden Person nicht mit zumutbarem Aufwand möglich ist.</w:t>
      </w:r>
    </w:p>
    <w:p>
      <w:r>
        <w:t xml:space="preserve">(4) Fehlt bei Arzneimitteln in abgabefertigen Packungen die Angabe der Menge des verschriebenen Arzneimittels, so gilt die kleinste Packung als verschrieben.</w:t>
      </w:r>
    </w:p>
    <w:p>
      <w:r>
        <w:t xml:space="preserve">(5) Fehlt die Angabe der Gültigkeitsdauer, so gilt die Verschreibung drei Monate.</w:t>
      </w:r>
    </w:p>
    <w:p>
      <w:r>
        <w:t xml:space="preserve">(6) Fehlt das Geburtsdatum der Person, für die das Arzneimittel bestimmt ist, oder fehlen Angaben nach Absatz 1 Nummer 2, nach Nummer 5, zur Gebrauchsanweisung nach Nummer 4a oder zur Dosierung nach Nummer 7, so kann der Apotheker, wenn ein dringender Fall vorliegt und eine Rücksprache mit der verschreibenden Person nicht möglich ist, die Verschreibung insoweit ergänzen.</w:t>
      </w:r>
    </w:p>
    <w:p>
      <w:r>
        <w:t xml:space="preserve">(6a) Fehlt der Vorname der verschreibenden Person oder deren Telefonnummer zur Kontaktaufnahme oder der Hinweis in der Verschreibung auf einen Medikationsplan, der das verschriebene Arzneimittel umfasst, oder eine schriftliche Dosierungsanweisung nach Absatz 1 Nummer 7, so kann der Apotheker auch ohne Rücksprache mit der verschreibenden Person die Verschreibung insoweit ergänzen, wenn ihm diese Angaben zweifelsfrei bekannt sind.</w:t>
      </w:r>
    </w:p>
    <w:p>
      <w:r>
        <w:t xml:space="preserve">(7) Ist die Verschreibung eines Arzneimittels für ein Krankenhaus bestimmt, in dem zur Übermittlung derselben ein System zur Datenübertragung vorhanden ist, das die Verschreibung durch eine befugte verschreibende Person sicherstellt, so genügt an Stelle der eigenhändigen Unterschrift nach Absatz 1 Nr. 10 die Namenswiedergabe der verschreibenden Person oder, bei Verschreibungen in elektronischer Form, ein geeignetes elektronisches Identifikationsverfahren.</w:t>
      </w:r>
    </w:p>
    <w:p>
      <w:r>
        <w:t xml:space="preserve">(8) Ist die Verschreibung für ein Krankenhaus bestimmt, kann sie auch ausschließlich mit Hilfe eines Telefaxgerätes übermittelt werden.</w:t>
      </w:r>
    </w:p>
    <w:p>
      <w:r>
        <w:rPr>
          <w:color w:val="555555"/>
          <w:sz w:val="17"/>
        </w:rPr>
        <w:t xml:space="preserve">Zitiervorschlag: § 2 AMVV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