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AMVLBV — Schriftlicher Plan</w:t>
      </w:r>
    </w:p>
    <w:p>
      <w:r>
        <w:rPr>
          <w:color w:val="555555"/>
          <w:sz w:val="18"/>
        </w:rPr>
        <w:t xml:space="preserve">Verordnung mit arzneimittelrechtlichen Vorschriften über die Arzneimittelverwendung in landwirtschaftlichen Betrieben</w:t>
      </w:r>
    </w:p>
    <w:p>
      <w:r>
        <w:rPr>
          <w:color w:val="555555"/>
          <w:sz w:val="18"/>
        </w:rPr>
        <w:t xml:space="preserve">Historische Fassung: Stand 10.06.2019 bis 07.01.2023. Dies ist nicht die aktuelle Fassung.</w:t>
      </w:r>
    </w:p>
    <w:p>
      <w:r>
        <w:t xml:space="preserve">(1) Der schriftliche Plan nach § 58d Absatz 2 Satz 1 Nummer 2 des Arzneimittelgesetzes hat mindestens folgende Angaben zu enthalten:</w:t>
      </w:r>
    </w:p>
    <w:p>
      <w:pPr>
        <w:ind w:left="420"/>
      </w:pPr>
      <w:r>
        <w:t xml:space="preserve">1. Angaben zum Betrieb hinsichtlich:</w:t>
      </w:r>
    </w:p>
    <w:p>
      <w:pPr>
        <w:ind w:left="780"/>
      </w:pPr>
      <w:r>
        <w:t xml:space="preserve">a) des Systems des Zu- oder Verkaufs der Tiere,</w:t>
      </w:r>
    </w:p>
    <w:p>
      <w:pPr>
        <w:ind w:left="780"/>
      </w:pPr>
      <w:r>
        <w:t xml:space="preserve">b) der Hygiene,</w:t>
      </w:r>
    </w:p>
    <w:p>
      <w:pPr>
        <w:ind w:left="780"/>
      </w:pPr>
      <w:r>
        <w:t xml:space="preserve">c) der Fütterung einschließlich der Wasserversorgung,</w:t>
      </w:r>
    </w:p>
    <w:p>
      <w:pPr>
        <w:ind w:left="780"/>
      </w:pPr>
      <w:r>
        <w:t xml:space="preserve">d) der Art und Weise der Mast einschließlich der Mastdauer,</w:t>
      </w:r>
    </w:p>
    <w:p>
      <w:pPr>
        <w:ind w:left="780"/>
      </w:pPr>
      <w:r>
        <w:t xml:space="preserve">e) der Ausstattung, Einrichtung und Besatzdichte der Ställe,</w:t>
      </w:r>
    </w:p>
    <w:p>
      <w:pPr>
        <w:ind w:left="780"/>
      </w:pPr>
      <w:r>
        <w:t xml:space="preserve">f) des Namens und der Anschrift des den Bestand behandelnden Tierarztes sowie, soweit vorhanden, weiterer Tierärzte,</w:t>
      </w:r>
    </w:p>
    <w:p>
      <w:pPr>
        <w:ind w:left="780"/>
      </w:pPr>
      <w:r>
        <w:t xml:space="preserve">g) der Art und Weise der Verabreichung von Arzneimitteln, die antibakteriell wirksame Stoffe enthalten,</w:t>
      </w:r>
    </w:p>
    <w:p>
      <w:pPr>
        <w:ind w:left="420"/>
      </w:pPr>
      <w:r>
        <w:t xml:space="preserve">2. die mutmaßlichen Gründe, die zu der Überschreitung der Kennzahl 2 der bundesweiten halbjährlichen Therapiehäufigkeit geführt haben könnten, Angaben zum Krankheitsgeschehen, einschließlich Befunden zur Diagnostik und Tierverlusten sowie bestehenden Prophylaxeprogrammen,</w:t>
      </w:r>
    </w:p>
    <w:p>
      <w:pPr>
        <w:ind w:left="420"/>
      </w:pPr>
      <w:r>
        <w:t xml:space="preserve">3. das Ergebnis der tierärztlichen Beratungen nach § 58d Absatz 2 Satz 1 Nummer 2 des Arzneimittelgesetzes,</w:t>
      </w:r>
    </w:p>
    <w:p>
      <w:pPr>
        <w:ind w:left="420"/>
      </w:pPr>
      <w:r>
        <w:t xml:space="preserve">4. Einzelheiten der beabsichtigten Maßnahmen, mit denen eine Verringerung der Behandlung mit Arzneimitteln, die antibakteriell wirksame Stoffe enthalten, bewirkt werden soll,</w:t>
      </w:r>
    </w:p>
    <w:p>
      <w:pPr>
        <w:ind w:left="420"/>
      </w:pPr>
      <w:r>
        <w:t xml:space="preserve">5. den Zeitraum, in dem die Maßnahmen nach Nummer 4 umgesetzt werden sollen.</w:t>
      </w:r>
    </w:p>
    <w:p>
      <w:r>
        <w:t xml:space="preserve">(2) Der Plan ist der zuständigen Behörde schriftlich oder elektronisch zu übermitteln.</w:t>
      </w:r>
    </w:p>
    <w:p>
      <w:r>
        <w:rPr>
          <w:color w:val="555555"/>
          <w:sz w:val="17"/>
        </w:rPr>
        <w:t xml:space="preserve">Zitiervorschlag: § 3 AMVLBV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https://recht.nulegal.eu/gesetze/AMVLBV/3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