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AMVLBV — Auskunftserteilung</w:t>
      </w:r>
    </w:p>
    <w:p>
      <w:r>
        <w:rPr>
          <w:color w:val="555555"/>
          <w:sz w:val="18"/>
        </w:rPr>
        <w:t xml:space="preserve">Verordnung mit arzneimittelrechtlichen Vorschriften über die Arzneimittelverwendung in landwirtschaftlichen Betrieben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Die zuständige Behörde teilt dem Tierhalter die ermittelte betriebliche halbjährliche Therapiehäufigkeit nach § 58c Absatz 1 des Arzneimittelgesetzes spätestens bis zu dem in § 58c Absatz 2 Satz 1 des Arzneimittelgesetzes aufgeführten Zeitpunkt mit. Die Mitteilung nach Satz 1 kann mit Zustimmung des Tierhalters nach Maßgabe des § 10 des Bundesdatenschutzgesetzes im automatisierten Abrufverfahren erfolgen.</w:t>
      </w:r>
    </w:p>
    <w:p>
      <w:r>
        <w:rPr>
          <w:color w:val="555555"/>
          <w:sz w:val="17"/>
        </w:rPr>
        <w:t xml:space="preserve">Zitiervorschlag: § 2 AMVLBV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https://recht.nulegal.eu/gesetze/AMVLBV/2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