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AMVLBV — Ermittlung der bundesweiten Kennzahlen</w:t>
      </w:r>
    </w:p>
    <w:p>
      <w:r>
        <w:rPr>
          <w:color w:val="555555"/>
          <w:sz w:val="18"/>
        </w:rPr>
        <w:t xml:space="preserve">Verordnung mit arzneimittelrechtlichen Vorschriften über die Arzneimittelverwendung in landwirtschaftlichen Betrieben</w:t>
      </w:r>
    </w:p>
    <w:p>
      <w:r>
        <w:rPr>
          <w:color w:val="555555"/>
          <w:sz w:val="18"/>
        </w:rPr>
        <w:t xml:space="preserve">Historische Fassung: Stand 10.06.2019 bis 07.01.2023. Dies ist nicht die aktuelle Fassung.</w:t>
      </w:r>
    </w:p>
    <w:p>
      <w:r>
        <w:t xml:space="preserve">Die Kennzahlen der bundesweiten halbjährlichen Therapiehäufigkeit nach § 58c Absatz 4 Satz 1 des Arzneimittelgesetzes berechnet das Bundesamt für Verbraucherschutz und Lebensmittelsicherheit nach den in der Anlage aufgeführten Anforderungen und Einzelheiten.</w:t>
      </w:r>
    </w:p>
    <w:p>
      <w:r>
        <w:rPr>
          <w:color w:val="555555"/>
          <w:sz w:val="17"/>
        </w:rPr>
        <w:t xml:space="preserve">Zitiervorschlag: § 1 AMVLBV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https://recht.nulegal.eu/gesetze/AMVLBV/1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