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AMSachvV</w:t>
      </w:r>
    </w:p>
    <w:p>
      <w:r>
        <w:rPr>
          <w:color w:val="555555"/>
          <w:sz w:val="18"/>
        </w:rPr>
        <w:t xml:space="preserve">Arzneimittel-Sachverständigenverordnung</w:t>
      </w:r>
    </w:p>
    <w:p>
      <w:r>
        <w:rPr>
          <w:color w:val="555555"/>
          <w:sz w:val="18"/>
        </w:rPr>
        <w:t xml:space="preserve">Stand: 19.07.2022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AMSachvV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https://recht.nulegal.eu/gesetze/AMSachvV/6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