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AMSachvV</w:t>
      </w:r>
    </w:p>
    <w:p>
      <w:r>
        <w:rPr>
          <w:color w:val="555555"/>
          <w:sz w:val="18"/>
        </w:rPr>
        <w:t xml:space="preserve">Arzneimittel-Sachverständigenverordnung</w:t>
      </w:r>
    </w:p>
    <w:p>
      <w:r>
        <w:rPr>
          <w:color w:val="555555"/>
          <w:sz w:val="18"/>
        </w:rPr>
        <w:t xml:space="preserve">Stand: 19.07.2022 (konsolidierte Textfassung, kein amtliches Inkrafttretensdatum)</w:t>
      </w:r>
    </w:p>
    <w:p>
      <w:r>
        <w:t xml:space="preserve">(1) Die Ausschüsse beraten unter dem Vorsitz des Präsidenten des Bundesinstitutes für Arzneimittel und Medizinprodukte. Die Sitzungen sind nicht öffentlich.</w:t>
      </w:r>
    </w:p>
    <w:p>
      <w:r>
        <w:t xml:space="preserve">(2) Die Geschäfte der Ausschüsse führt das Bundesinstitut für Arzneimittel und Medizinprodukte.</w:t>
      </w:r>
    </w:p>
    <w:p>
      <w:r>
        <w:t xml:space="preserve">(3) Die Ausschüsse geben sich jeweils eine Geschäftsordnung, die der Zustimmung des Bundesministeriums bedarf. Die Geschäftsordnungen werden vom Bundesinstitut für Arzneimittel und Medizinprodukte auf dessen Homepage im Internet veröffentlicht.</w:t>
      </w:r>
    </w:p>
    <w:p>
      <w:r>
        <w:rPr>
          <w:color w:val="555555"/>
          <w:sz w:val="17"/>
        </w:rPr>
        <w:t xml:space="preserve">Zitiervorschlag: § 5 AMSachvV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https://recht.nulegal.eu/gesetze/AMSachvV/5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