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AMSachvV</w:t>
      </w:r>
    </w:p>
    <w:p>
      <w:r>
        <w:rPr>
          <w:color w:val="555555"/>
          <w:sz w:val="18"/>
        </w:rPr>
        <w:t xml:space="preserve">Arzneimittel-Sachverständigenverordnung</w:t>
      </w:r>
    </w:p>
    <w:p>
      <w:r>
        <w:rPr>
          <w:color w:val="555555"/>
          <w:sz w:val="18"/>
        </w:rPr>
        <w:t xml:space="preserve">Stand: 19.07.2022 (konsolidierte Textfassung, kein amtliches Inkrafttretensdatum)</w:t>
      </w:r>
    </w:p>
    <w:p>
      <w:r>
        <w:t xml:space="preserve">(1) Die Mitglieder der Ausschüsse und deren Stellvertreter werden durch das Bundesministerium einheitlich für den Zeitraum von jeweils fünf Jahren berufen. Nachfolger für vorzeitig ausscheidende Mitglieder oder Stellvertreter werden nur für den Rest des jeweiligen Berufungszeitraums berufen. Die Amtszeit der Mitglieder, die für den Bereich der Tierarzneimittel nach § 2 Absatz 2 Nummer 1, 6 und 9 und nach § 2 Absatz 3 Nummer 1 Buchstabe a, c und h sowie Nummer 2 Buchstabe e und i in der am 18. Juli 2022 geltenden Fassung berufen worden sind, endet mit Ablauf des 18. Juli 2022.</w:t>
      </w:r>
    </w:p>
    <w:p>
      <w:r>
        <w:t xml:space="preserve">(2) Wiederholte Berufungen sind zulässig.</w:t>
      </w:r>
    </w:p>
    <w:p>
      <w:r>
        <w:t xml:space="preserve">(3) Mitglieder und Stellvertreter können durch eine Erklärung gegenüber dem Bundesministerium ihre Mitgliedschaft in einem Ausschuß jederzeit beenden.</w:t>
      </w:r>
    </w:p>
    <w:p>
      <w:r>
        <w:t xml:space="preserve">(4) Die Tätigkeit in den Ausschüssen wird ehrenamtlich ausgeübt.</w:t>
      </w:r>
    </w:p>
    <w:p>
      <w:r>
        <w:rPr>
          <w:color w:val="555555"/>
          <w:sz w:val="17"/>
        </w:rPr>
        <w:t xml:space="preserve">Zitiervorschlag: § 3 AMSachvV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