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AMSachvV</w:t>
      </w:r>
    </w:p>
    <w:p>
      <w:r>
        <w:rPr>
          <w:color w:val="555555"/>
          <w:sz w:val="18"/>
        </w:rPr>
        <w:t xml:space="preserve">Arzneimittel-Sachverständigenverordnung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Das Bundesministerium für Gesundheit (Bundesministerium) hört vor Erlaß einer Rechtsverordnung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nach § 45 Abs. 1 und § 46 Abs. 1 des Arzneimittelgesetzes einen Sachverständigen-Ausschuß für Apothekenpflicht und</w:t>
      </w:r>
    </w:p>
    <w:p>
      <w:pPr>
        <w:ind w:left="420"/>
      </w:pPr>
      <w:r>
        <w:t xml:space="preserve">3. nach § 48 Abs. 2 des Arzneimittelgesetzes einen Sachverständigen-Ausschuß für Verschreibungspflicht</w:t>
      </w:r>
    </w:p>
    <w:p>
      <w:r>
        <w:t xml:space="preserve">an.</w:t>
      </w:r>
    </w:p>
    <w:p>
      <w:r>
        <w:rPr>
          <w:color w:val="555555"/>
          <w:sz w:val="17"/>
        </w:rPr>
        <w:t xml:space="preserve">Zitiervorschlag: § 1 AMSachvV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https://recht.nulegal.eu/gesetze/AMSachvV/1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