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AMSachKV — Prüfungsanforderungen</w:t>
      </w:r>
    </w:p>
    <w:p>
      <w:r>
        <w:rPr>
          <w:color w:val="555555"/>
          <w:sz w:val="18"/>
        </w:rPr>
        <w:t xml:space="preserve">Verordnung über den Nachweis der Sachkenntnis im Einzelhandel mit freiverkäuflichen Arzneimitteln</w:t>
      </w:r>
    </w:p>
    <w:p>
      <w:r>
        <w:rPr>
          <w:color w:val="555555"/>
          <w:sz w:val="18"/>
        </w:rPr>
        <w:t xml:space="preserve">Stand: 10.06.2019 (konsolidierte Textfassung, kein amtliches Inkrafttretensdatum)</w:t>
      </w:r>
    </w:p>
    <w:p>
      <w:r>
        <w:t xml:space="preserve">(1) Durch die Prüfung ist festzustellen, ob der Prüfungsteilnehmer ausreichende Kenntnisse und Fertigkeiten über das ordnungsgemäße Abfüllen, Abpacken, Kennzeichnen, Lagern und Inverkehrbringen von freiverkäuflichen Arzneimitteln sowie Kenntnisse über die für diese Arzneimittel geltenden Vorschriften besitzt.</w:t>
      </w:r>
    </w:p>
    <w:p>
      <w:r>
        <w:t xml:space="preserve">(2) Im einzelnen ist festzustellen, ob der Prüfungsteilnehmer</w:t>
      </w:r>
    </w:p>
    <w:p>
      <w:pPr>
        <w:ind w:left="420"/>
      </w:pPr>
      <w:r>
        <w:t xml:space="preserve">1. das Sortiment freiverkäuflicher Arzneimittel übersieht,</w:t>
      </w:r>
    </w:p>
    <w:p>
      <w:pPr>
        <w:ind w:left="420"/>
      </w:pPr>
      <w:r>
        <w:t xml:space="preserve">2. die in freiverkäuflichen Arzneimitteln üblicherweise verwendeten Pflanzen und Chemikalien sowie die Darreichungsformen kennt,</w:t>
      </w:r>
    </w:p>
    <w:p>
      <w:pPr>
        <w:ind w:left="420"/>
      </w:pPr>
      <w:r>
        <w:t xml:space="preserve">3. offensichtlich verwechselte, verfälschte oder verdorbene freiverkäufliche Arzneimittel erkennen kann,</w:t>
      </w:r>
    </w:p>
    <w:p>
      <w:pPr>
        <w:ind w:left="420"/>
      </w:pPr>
      <w:r>
        <w:t xml:space="preserve">4. freiverkäufliche Arzneimittel ordnungsgemäß, insbesondere unter Berücksichtigung der Lagertemperatur und des Verfalldatums, lagern kann,</w:t>
      </w:r>
    </w:p>
    <w:p>
      <w:pPr>
        <w:ind w:left="420"/>
      </w:pPr>
      <w:r>
        <w:t xml:space="preserve">5. über die für das ordnungsgemäße Abfüllen, Abpacken und die Abgabe freiverkäuflicher Arzneimittel erforderlichen Kenntnisse verfügt,</w:t>
      </w:r>
    </w:p>
    <w:p>
      <w:pPr>
        <w:ind w:left="420"/>
      </w:pPr>
      <w:r>
        <w:t xml:space="preserve">6. die mit dem unsachgemäßen Umgang mit freiverkäuflichen Arzneimitteln verbundenen Gefahren kennt,</w:t>
      </w:r>
    </w:p>
    <w:p>
      <w:pPr>
        <w:ind w:left="420"/>
      </w:pPr>
      <w:r>
        <w:t xml:space="preserve">7. die für freiverkäufliche Arzneimittel geltenden Vorschriften des Arzneimittelrechts und des Rechts der Werbung auf dem Gebiete des Heilwesens kennt.</w:t>
      </w:r>
    </w:p>
    <w:p>
      <w:r>
        <w:rPr>
          <w:color w:val="555555"/>
          <w:sz w:val="17"/>
        </w:rPr>
        <w:t xml:space="preserve">Zitiervorschlag: § 4 AMSachKV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https://recht.nulegal.eu/gesetze/AMSachKV/4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