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AMSachKV</w:t>
      </w:r>
    </w:p>
    <w:p>
      <w:r>
        <w:rPr>
          <w:color w:val="555555"/>
          <w:sz w:val="18"/>
        </w:rPr>
        <w:t xml:space="preserve">Verordnung über den Nachweis der Sachkenntnis im Einzelhandel mit freiverkäuflichen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 AMSachKV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https://recht.nulegal.eu/gesetze/AMSachKV/12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