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AMSachKV — Sonstiger Nachweis der Sachkenntnis</w:t>
      </w:r>
    </w:p>
    <w:p>
      <w:r>
        <w:rPr>
          <w:color w:val="555555"/>
          <w:sz w:val="18"/>
        </w:rPr>
        <w:t xml:space="preserve">Verordnung über den Nachweis der Sachkenntnis im Einzelhandel mit freiverkäuflichen Arzneimitteln</w:t>
      </w:r>
    </w:p>
    <w:p>
      <w:r>
        <w:rPr>
          <w:color w:val="555555"/>
          <w:sz w:val="18"/>
        </w:rPr>
        <w:t xml:space="preserve">Stand: 10.06.2019 (konsolidierte Textfassung, kein amtliches Inkrafttretensdatum)</w:t>
      </w:r>
    </w:p>
    <w:p>
      <w:r>
        <w:t xml:space="preserve">Den Nachweis der Sachkenntnis im Einzelhandel mit freiverkäuflichen Arzneimitteln hat auch erbracht, wer nachweist, daß er bis zum 1. Januar 1978 die Voraussetzungen</w:t>
      </w:r>
    </w:p>
    <w:p>
      <w:pPr>
        <w:ind w:left="420"/>
      </w:pPr>
      <w:r>
        <w:t xml:space="preserve">1. der Sachkunde für den Einzelhandel mit Arzneimitteln nach den Vorschriften des Gesetzes über die Berufsausübung im Einzelhandel und der Verordnung über den Nachweis der Sachkunde für den Einzelhandel, jeweils in ihrer bis zum 1. Januar 1978 geltenden Fassung, oder</w:t>
      </w:r>
    </w:p>
    <w:p>
      <w:pPr>
        <w:ind w:left="420"/>
      </w:pPr>
      <w:r>
        <w:t xml:space="preserve">2. der Sachkenntnis als Herstellungsleiter nach § 14 Abs. 1 Nr. 2 des Arzneimittelgesetzes 1961</w:t>
      </w:r>
    </w:p>
    <w:p>
      <w:r>
        <w:t xml:space="preserve">erfüllt hat.</w:t>
      </w:r>
    </w:p>
    <w:p>
      <w:r>
        <w:rPr>
          <w:color w:val="555555"/>
          <w:sz w:val="17"/>
        </w:rPr>
        <w:t xml:space="preserve">Zitiervorschlag: § 11 AMSachKV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https://recht.nulegal.eu/gesetze/AMSachKV/11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