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AMRadV — Übergangsregelung aus Anlass des Vierten Gesetzes zur Änderung arzneimittelrechtlicher und anderer Vorschriften</w:t>
      </w:r>
    </w:p>
    <w:p>
      <w:r>
        <w:rPr>
          <w:color w:val="555555"/>
          <w:sz w:val="18"/>
        </w:rPr>
        <w:t xml:space="preserve">Verordnung über radioaktive oder mit ionisierenden Strahlen behandelte Arzneimittel</w:t>
      </w:r>
    </w:p>
    <w:p>
      <w:r>
        <w:rPr>
          <w:color w:val="555555"/>
          <w:sz w:val="18"/>
        </w:rPr>
        <w:t xml:space="preserve">Stand: 27.01.2022 (konsolidierte Textfassung, kein amtliches Inkrafttretensdatum)</w:t>
      </w:r>
    </w:p>
    <w:p>
      <w:r>
        <w:t xml:space="preserve">(1) Für klinische Prüfungen bei Menschen mit Arzneimitteln, die dem Anwendungsbereich der Verordnung (EU) Nr. 536/2014 unterliegen, ist diese Verordnung in der bis zum Tag vor dem Inkrafttreten dieser Vorschrift nach Artikel 13 Absatz 2 und 3 des Vierten Gesetzes zur Änderung arzneimittelrechtlicher und anderer Vorschriften vom 20. Dezember 2016 (BGBl. I S. 3048) geltenden Fassung für drei Jahre weiter anzuwenden, wenn der Antrag auf Genehmigung vor dem Tag des Inkrafttretens dieser Vorschrift nach Artikel 13 Absatz 2 und 3 des Vierten Gesetzes zur Änderung arzneimittelrechtlicher und anderer Vorschriften vom 20. Dezember 2016 (BGBl. I S. 3048) gemäß dem Sechsten Abschnitt des Arzneimittelgesetzes eingereicht wurde.</w:t>
      </w:r>
    </w:p>
    <w:p>
      <w:r>
        <w:t xml:space="preserve">(2) Eine klinische Prüfung bei Menschen mit Arzneimitteln, die dem Anwendungsbereich der Verordnung (EU) Nr. 536/2014 unterliegen, darf nach dieser Verordnung in der bis zum Tag vor dem Inkrafttreten dieser Vorschrift nach Artikel 13 Absatz 2 und 3 des Vierten Gesetzes zur Änderung arzneimittelrechtlicher und anderer Vorschriften vom 20. Dezember 2016 (BGBl. I S. 3048) geltenden Fassung begonnen werden, wenn der Antrag auf Genehmigung innerhalb von zwölf Monaten nach dem Tag des Inkrafttretens dieser Vorschrift nach Artikel 13 Absatz 2 und 3 des Vierten Gesetzes zur Änderung arzneimittelrechtlicher und anderer Vorschriften vom 20. Dezember 2016 (BGBl. I S. 3048) eingereicht wurde. Für die betreffende klinische Prüfung ist diese Verordnung in der bis zu dem Tag vor dem Inkrafttreten dieser Vorschrift nach Artikel 13 Absatz 2 und 3 des Vierten Gesetzes zur Änderung arzneimittelrechtlicher und anderer Vorschriften vom 20. Dezember 2016 (BGBl. I S. 3048) geltenden Fassung für drei Jahre weiter anzuwenden.</w:t>
      </w:r>
    </w:p>
    <w:p>
      <w:r>
        <w:rPr>
          <w:color w:val="555555"/>
          <w:sz w:val="17"/>
        </w:rPr>
        <w:t xml:space="preserve">Zitiervorschlag: § 7 AMRadV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https://recht.nulegal.eu/gesetze/AMRadV/7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