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AMRadV — Übergangsregelung</w:t>
      </w:r>
    </w:p>
    <w:p>
      <w:r>
        <w:rPr>
          <w:color w:val="555555"/>
          <w:sz w:val="18"/>
        </w:rPr>
        <w:t xml:space="preserve">Verordnung über radioaktive oder mit ionisierenden Strahlen behandelte Arzneimittel</w:t>
      </w:r>
    </w:p>
    <w:p>
      <w:r>
        <w:rPr>
          <w:color w:val="555555"/>
          <w:sz w:val="18"/>
        </w:rPr>
        <w:t xml:space="preserve">Stand: 10.06.2019 (konsolidierte Textfassung, kein amtliches Inkrafttretensdatum)</w:t>
      </w:r>
    </w:p>
    <w:p>
      <w:r>
        <w:t xml:space="preserve">Arzneimittel, die sich am 30. Dezember 2006 im Verkehr befinden und den Vorschriften des § 3 unterliegen, müssen zwei Jahre nach der ersten auf den 31. Dezember 2006 folgenden Verlängerung der Zulassung oder, soweit sie keiner Verlängerung bedürfen, am 1. Januar 2009 vom pharmazeutischen Unternehmer entsprechend den Vorschriften des § 3 in den Verkehr gebracht werden. Bis zu den jeweiligen Zeitpunkten nach Satz 1 dürfen Arzneimittel vom pharmazeutischen Unternehmer, nach diesen Zeitpunkten weiter von Groß- und Einzelhändlern mit einer Kennzeichnung, Packungsbeilage und Fachinformation in den Verkehr gebracht werden, die den bis zum 30. Dezember 2006 geltenden Vorschriften entspricht.</w:t>
      </w:r>
    </w:p>
    <w:p>
      <w:r>
        <w:rPr>
          <w:color w:val="555555"/>
          <w:sz w:val="17"/>
        </w:rPr>
        <w:t xml:space="preserve">Zitiervorschlag: § 6 AMRadV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