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AMRadV — Ordnungswidrigkeiten</w:t>
      </w:r>
    </w:p>
    <w:p>
      <w:r>
        <w:rPr>
          <w:color w:val="555555"/>
          <w:sz w:val="18"/>
        </w:rPr>
        <w:t xml:space="preserve">Verordnung über radioaktive oder mit ionisierenden Strahlen behandelte Arzneimittel</w:t>
      </w:r>
    </w:p>
    <w:p>
      <w:r>
        <w:rPr>
          <w:color w:val="555555"/>
          <w:sz w:val="18"/>
        </w:rPr>
        <w:t xml:space="preserve">Stand: 27.01.2022 (konsolidierte Textfassung, kein amtliches Inkrafttretensdatum)</w:t>
      </w:r>
    </w:p>
    <w:p>
      <w:r>
        <w:t xml:space="preserve">Ordnungswidrig im Sinne des § 97 Abs. 2 Nr. 31 des Arzneimittelgesetzes handelt, wer vorsätzlich oder fahrlässig entgegen § 3 Absatz 1 Nummer 1, 2 oder Nummer 4 ein radioaktives Arzneimittel in den Verkehr bringt.</w:t>
      </w:r>
    </w:p>
    <w:p>
      <w:r>
        <w:rPr>
          <w:color w:val="555555"/>
          <w:sz w:val="17"/>
        </w:rPr>
        <w:t xml:space="preserve">Zitiervorschlag: § 5 AMRadV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https://recht.nulegal.eu/gesetze/AMRadV/5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