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AMRadV — Verhältnis zum Strahlenschutzgesetz</w:t>
      </w:r>
    </w:p>
    <w:p>
      <w:r>
        <w:rPr>
          <w:color w:val="555555"/>
          <w:sz w:val="18"/>
        </w:rPr>
        <w:t xml:space="preserve">Verordnung über radioaktive oder mit ionisierenden Strahlen behandelte Arzneimittel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Strahlenschutzgesetzes und der darauf gestützten Rechtsverordnungen bleiben unberührt.</w:t>
      </w:r>
    </w:p>
    <w:p>
      <w:r>
        <w:rPr>
          <w:color w:val="555555"/>
          <w:sz w:val="17"/>
        </w:rPr>
        <w:t xml:space="preserve">Zitiervorschlag: § 4 AMRadV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https://recht.nulegal.eu/gesetze/AMRadV/4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