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AMRabG — Datenübermittlung durch pharmazeutische Unternehmer</w:t>
      </w:r>
    </w:p>
    <w:p>
      <w:r>
        <w:rPr>
          <w:color w:val="555555"/>
          <w:sz w:val="18"/>
        </w:rPr>
        <w:t xml:space="preserve">Gesetz über Rabatte für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pharmazeutischen Unternehmer sind verpflichtet, die erforderlichen Preis- und Produktangaben für Arzneimittel einschließlich des Abschlags an den Verband der privaten Krankenversicherung und auf Antrag an die Träger der Kosten in Krankheits-, Pflege- und Geburtsfällen nach beamtenrechtlichen Vorschriften, an sonstige Träger nach § 1 Satz 2 oder an eine oder mehrere von diesen benannte Stellen auf maschinell lesbaren Datenträgern zu übermitteln.</w:t>
      </w:r>
    </w:p>
    <w:p>
      <w:r>
        <w:rPr>
          <w:color w:val="555555"/>
          <w:sz w:val="17"/>
        </w:rPr>
        <w:t xml:space="preserve">Zitiervorschlag: § 5 AMRabG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https://recht.nulegal.eu/gesetze/AMRabG/5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