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AMRabG — Angaben auf dem Verordnungsblatt</w:t>
      </w:r>
    </w:p>
    <w:p>
      <w:r>
        <w:rPr>
          <w:color w:val="555555"/>
          <w:sz w:val="18"/>
        </w:rPr>
        <w:t xml:space="preserve">Gesetz über Rabatte für Arzneimittel</w:t>
      </w:r>
    </w:p>
    <w:p>
      <w:r>
        <w:rPr>
          <w:color w:val="555555"/>
          <w:sz w:val="18"/>
        </w:rPr>
        <w:t xml:space="preserve">Stand: 10.06.2019 (konsolidierte Textfassung, kein amtliches Inkrafttretensdatum)</w:t>
      </w:r>
    </w:p>
    <w:p>
      <w:r>
        <w:t xml:space="preserve">Bei der Abgabe von Arzneimitteln, die der Abschlagspflicht nach § 130a Absatz 1, 1a, 2, 3, 3a oder 3b des Fünften Buches Sozialgesetzbuch unterliegen, an Personen, die diese nicht im Wege der Sachleistung der gesetzlichen Krankenversicherung erhalten, haben Apotheken neben dem Abgabepreis die Pharmazentralnummer, das Abgabedatum und das Apothekenkennzeichen bei Eignung des Verordnungsblatts in maschinenlesbarer Form auf dieses zu übertragen. Weitere Einzelheiten können die Träger der Kosten in Krankheits-, Pflege- und Geburtsfällen nach beamtenrechtlichen Vorschriften und der Verband der privaten Krankenversicherung mit der zur Wahrnehmung der wirtschaftlichen Interessen gebildeten Spitzenorganisation der Apotheker auch abweichend von diesem Gesetz vereinbaren. Insbesondere kann vereinbart werden, dass die Apotheken einen Beleg in maschinenlesbarer Form über die Pharmazentralnummer des abgegebenen Arzneimittels, den Kaufpreis und das Abgabedatum ausstellen. Sonstige Träger nach § 1 Satz 2 können der Vereinbarung nach Satz 2 beitreten.</w:t>
      </w:r>
    </w:p>
    <w:p>
      <w:r>
        <w:rPr>
          <w:color w:val="555555"/>
          <w:sz w:val="17"/>
        </w:rPr>
        <w:t xml:space="preserve">Zitiervorschlag: § 4 AMRabG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