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AMRabG — Prüfung durch Treuhänder</w:t>
      </w:r>
    </w:p>
    <w:p>
      <w:r>
        <w:rPr>
          <w:color w:val="555555"/>
          <w:sz w:val="18"/>
        </w:rPr>
        <w:t xml:space="preserve">Gesetz über Rabatte für Arzneimittel</w:t>
      </w:r>
    </w:p>
    <w:p>
      <w:r>
        <w:rPr>
          <w:color w:val="555555"/>
          <w:sz w:val="18"/>
        </w:rPr>
        <w:t xml:space="preserve">Stand: 02.12.2019 (konsolidierte Textfassung, kein amtliches Inkrafttretensdatum)</w:t>
      </w:r>
    </w:p>
    <w:p>
      <w:r>
        <w:t xml:space="preserve">Die pharmazeutischen Unternehmer können in begründeten Fällen sowie in Stichproben die Abrechnung der Abschläge durch einen Treuhänder innerhalb eines Jahres ab Geltendmachung des Anspruchs nach § 1 überprüfen lassen. Hierfür dürfen an den Treuhänder die für den Prüfungszweck erforderlichen personenbezogenen Daten übermittelt werden. Zum Nachweis dürfen auch Reproduktionen von digitalisierten Verordnungsblättern vorgelegt werden. Der Treuhänder darf die ihm übermittelten Daten nur zum Zwecke der Überprüfung der Abrechnung der Abschläge verarbeiten. Weitere Einzelheiten der Prüfung können in der Vereinbarung nach § 2 Satz 4 geregelt werden.</w:t>
      </w:r>
    </w:p>
    <w:p>
      <w:r>
        <w:rPr>
          <w:color w:val="555555"/>
          <w:sz w:val="17"/>
        </w:rPr>
        <w:t xml:space="preserve">Zitiervorschlag: § 3 AMRabG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https://recht.nulegal.eu/gesetze/AMRabG/3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