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AMRabG — Nachweis</w:t>
      </w:r>
    </w:p>
    <w:p>
      <w:r>
        <w:rPr>
          <w:color w:val="555555"/>
          <w:sz w:val="18"/>
        </w:rPr>
        <w:t xml:space="preserve">Gesetz über Rabatte für Arzneimittel</w:t>
      </w:r>
    </w:p>
    <w:p>
      <w:r>
        <w:rPr>
          <w:color w:val="555555"/>
          <w:sz w:val="18"/>
        </w:rPr>
        <w:t xml:space="preserve">Stand: 10.06.2019 (konsolidierte Textfassung, kein amtliches Inkrafttretensdatum)</w:t>
      </w:r>
    </w:p>
    <w:p>
      <w:r>
        <w:t xml:space="preserve">Die Unternehmen der privaten Krankenversicherung und die Träger der Kosten in Krankheits-, Pflege- und Geburtsfällen nach beamtenrechtlichen Vorschriften bilden bei dem Verband der privaten Krankenversicherung eine zentrale Stelle, die mit dem Einzug der Abschläge beauftragt wird. Zum Nachweis des Abschlags übermittelt die zentrale Stelle oder eine von dieser beauftragte Stelle die Pharmazentralnummer des abgegebenen Arzneimittels, das Abgabedatum, das Apothekenkennzeichen und den Anteil der Kostentragung maschinenlesbar an die pharmazeutischen Unternehmer. Die pharmazeutischen Unternehmer haben die Abschläge innerhalb von zehn Tagen nach Geltendmachung des Anspruchs zu erstatten. Die Träger der Kosten in Krankheits-, Pflege- und Geburtsfällen nach beamtenrechtlichen Vorschriften und der Verband der privaten Krankenversicherung können mit den für die Wahrnehmung der wirtschaftlichen Interessen gebildeten Spitzenorganisationen der pharmazeutischen Unternehmer weitere Einzelheiten zur Abrechnung und zur Zahlungsfrist auch abweichend von diesem Gesetz vereinbaren. Sonstige Träger nach § 1 Satz 2 sind berechtigt, die Abrechnung der Abschläge entweder selbst durchzuführen oder durch die zentrale Stelle unter angemessener Beteiligung an den Kosten durchführen zu lassen. Sie können den Vereinbarungen nach Satz 4 beitreten.</w:t>
      </w:r>
    </w:p>
    <w:p>
      <w:r>
        <w:rPr>
          <w:color w:val="555555"/>
          <w:sz w:val="17"/>
        </w:rPr>
        <w:t xml:space="preserve">Zitiervorschlag: § 2 AMRabG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