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AMRabG — Anspruch auf Abschläge</w:t>
      </w:r>
    </w:p>
    <w:p>
      <w:r>
        <w:rPr>
          <w:color w:val="555555"/>
          <w:sz w:val="18"/>
        </w:rPr>
        <w:t xml:space="preserve">Gesetz über Rabatte für Arzneimittel</w:t>
      </w:r>
    </w:p>
    <w:p>
      <w:r>
        <w:rPr>
          <w:color w:val="555555"/>
          <w:sz w:val="18"/>
        </w:rPr>
        <w:t xml:space="preserve">Stand: 27.07.2023 (konsolidierte Textfassung, kein amtliches Inkrafttretensdatum)</w:t>
      </w:r>
    </w:p>
    <w:p>
      <w:r>
        <w:t xml:space="preserve">Die pharmazeutischen Unternehmer haben den Unternehmen der privaten Krankenversicherung und den Trägern der Kosten in Krankheits-, Pflege- und Geburtsfällen nach beamtenrechtlichen Vorschriften für verschreibungspflichtige Arzneimittel, deren Kosten diese ganz oder teilweise erstattet haben, nach dem Anteil der Kostentragung Abschläge entsprechend § 130a Absatz 1, 1a, 1b, 2, 3, 3a, 3b und 3d des Fünften Buches Sozialgesetzbuch zu gewähren. Die Abschläge nach Satz 1 sind auch zu gewähren, wenn das Arzneimittel gemäß § 73 Absatz 1 Satz 1 Nummer 1a des Arzneimittelgesetzes in den Geltungsbereich dieses Gesetzes verbracht wurde. Dies gilt auch für sonstige Träger von Kosten in Krankheitsfällen, die diese im Rahmen einer Absicherung im Krankheitsfall tragen, durch die eine Versicherungspflicht nach § 193 Absatz 3 Satz 1 des Versicherungsvertragsgesetzes und nach § 5 Absatz 1 Nummer 13 des Fünften Buches Sozialgesetzbuch ausgeschlossen wird. Zur Ermittlung der Abschläge nach Satz 1 sind Selbst- oder Eigenbehalte, die Unternehmen der privaten Krankenversicherung mit den Versicherungsnehmern vereinbart haben oder die auf beamtenrechtlichen Vorschriften oder anderen Vorschriften beruhen, nicht zu berücksichtigen. Die Abschläge nach Satz 1 dürfen von den Unternehmen der privaten Krankenversicherung ausschließlich zur Vermeidung oder Begrenzung von Prämienerhöhungen oder zur Prämienermäßigung bei den Versichertenbeständen verwendet werden.</w:t>
      </w:r>
    </w:p>
    <w:p>
      <w:r>
        <w:rPr>
          <w:color w:val="555555"/>
          <w:sz w:val="17"/>
        </w:rPr>
        <w:t xml:space="preserve">Zitiervorschlag: § 1 AMRabG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