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AMRNOG</w:t>
      </w:r>
    </w:p>
    <w:p>
      <w:r>
        <w:rPr>
          <w:color w:val="555555"/>
          <w:sz w:val="18"/>
        </w:rPr>
        <w:t xml:space="preserve">Gesetz zur Neuordnung des Arzneimittelrechts</w:t>
      </w:r>
    </w:p>
    <w:p>
      <w:r>
        <w:rPr>
          <w:color w:val="555555"/>
          <w:sz w:val="18"/>
        </w:rPr>
        <w:t xml:space="preserve">Außer Kraft: § 3 ist seit 28.08.2025 nicht mehr im AMRNOG enthalten. Angezeigt wird die letzte bekannte Fassung, Stand 10.06.2019.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 AMRNOG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https://recht.nulegal.eu/gesetze/AMRNOG/3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