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AMPreisV — Sonderbeschaffung</w:t>
      </w:r>
    </w:p>
    <w:p>
      <w:r>
        <w:rPr>
          <w:color w:val="555555"/>
          <w:sz w:val="18"/>
        </w:rPr>
        <w:t xml:space="preserve">Arzneimittelpreisverordnung</w:t>
      </w:r>
    </w:p>
    <w:p>
      <w:r>
        <w:rPr>
          <w:color w:val="555555"/>
          <w:sz w:val="18"/>
        </w:rPr>
        <w:t xml:space="preserve">Stand: 10.06.2019 (konsolidierte Textfassung, kein amtliches Inkrafttretensdatum)</w:t>
      </w:r>
    </w:p>
    <w:p>
      <w:r>
        <w:t xml:space="preserve">Unvermeidbare Telegrammgebühren, Fernsprechgebühren, Porti, Zölle und andere Kosten der Beschaffung von Arzneimitteln, die üblicherweise weder in Apotheken noch im Großhandel vorrätig gehalten werden, können die Apotheken mit Zustimmung des Kostenträgers gesondert berechnen.</w:t>
      </w:r>
    </w:p>
    <w:p>
      <w:r>
        <w:rPr>
          <w:color w:val="555555"/>
          <w:sz w:val="17"/>
        </w:rPr>
        <w:t xml:space="preserve">Zitiervorschlag: § 8 AMPreisV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https://recht.nulegal.eu/gesetze/AMPreisV/8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