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AMPreisV — Apothekenzuschläge für Stoffe</w:t>
      </w:r>
    </w:p>
    <w:p>
      <w:r>
        <w:rPr>
          <w:color w:val="555555"/>
          <w:sz w:val="18"/>
        </w:rPr>
        <w:t xml:space="preserve">Arzneimittelpreisverordnung</w:t>
      </w:r>
    </w:p>
    <w:p>
      <w:r>
        <w:rPr>
          <w:color w:val="555555"/>
          <w:sz w:val="18"/>
        </w:rPr>
        <w:t xml:space="preserve">Stand: 22.08.2019 (konsolidierte Textfassung, kein amtliches Inkrafttretensdatum)</w:t>
      </w:r>
    </w:p>
    <w:p>
      <w:r>
        <w:t xml:space="preserve">(1) Bei der Abgabe eines Stoffes, der in Apotheken in unverändertem Zustand umgefüllt, abgefüllt, abgepackt oder gekennzeichnet wird, sind ein Festzuschlag von 100 Prozent (Spanne 50 Prozent) auf die Apothekeneinkaufspreise ohne Umsatzsteuer für Stoff und erforderliche Verpackung sowie die Umsatzsteuer zu erheben.</w:t>
      </w:r>
    </w:p>
    <w:p>
      <w:r>
        <w:t xml:space="preserve">(2) Auszugehen ist von dem Apothekeneinkaufspreis der abzugebenden Menge des Stoffes, wobei der Einkaufspreis der üblichen Abpackung maßgebend ist.</w:t>
      </w:r>
    </w:p>
    <w:p>
      <w:r>
        <w:t xml:space="preserve">(3) Trifft die für die Wahrnehmung der wirtschaftlichen Interessen gebildete maßgebliche Spitzenorganisation der Apotheker mit dem Spitzenverband Bund der Krankenkassen Vereinbarungen über Apothekeneinkaufspreise, die der Berechnung zugrunde gelegt werden sollen, so ist der Festzuschlag für die durch diese Vereinbarungen erfaßten Abgaben abweichend von den Absätzen 1 und 2 auf diese Preise zu erheben. Das Gleiche gilt, wenn Sozialleistungsträger, private Krankenversicherungen oder deren Verbände mit Apotheken oder deren Verbänden entsprechende Vereinbarungen treffen; liegt eine solche Vereinbarung nicht vor, kann auf die nach Satz 1 vereinbarten Preise abgestellt werden.</w:t>
      </w:r>
    </w:p>
    <w:p>
      <w:r>
        <w:t xml:space="preserve">(4) Trifft die für die Wahrnehmung der wirtschaftlichen Interessen gebildete maßgebliche Spitzenorganisation der Apotheker mit dem Spitzenverband Bund der Krankenkassen Vereinbarungen über die Höhe des Festzuschlages nach Absatz 1, so ist der vereinbarte Zuschlag abweichend von Absatz 1 bei der Preisberechnung zu berücksichtigen. Das Gleiche gilt, wenn Sozialleistungsträger, private Krankenversicherungsunternehmen oder deren Verbände mit Apotheken oder deren Verbänden entsprechende Vereinbarungen treffen. Liegt eine Vereinbarung nach Satz 2 nicht vor, kann auf die nach Satz 1 vereinbarten Preise abgestellt werden.</w:t>
      </w:r>
    </w:p>
    <w:p>
      <w:r>
        <w:rPr>
          <w:color w:val="555555"/>
          <w:sz w:val="17"/>
        </w:rPr>
        <w:t xml:space="preserve">Zitiervorschlag: § 4 AMPreisV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https://recht.nulegal.eu/gesetze/AMPreisV/4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