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AMPreisV — Inkrafttreten, abgelöste Vorschriften</w:t>
      </w:r>
    </w:p>
    <w:p>
      <w:r>
        <w:rPr>
          <w:color w:val="555555"/>
          <w:sz w:val="18"/>
        </w:rPr>
        <w:t xml:space="preserve">Arzneimittelpreisverordnung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Januar 1981 in Kraft.</w:t>
      </w:r>
    </w:p>
    <w:p>
      <w:r>
        <w:t xml:space="preserve">(2) (Aufhebungsvorschriften)</w:t>
      </w:r>
    </w:p>
    <w:p>
      <w:r>
        <w:rPr>
          <w:color w:val="555555"/>
          <w:sz w:val="17"/>
        </w:rPr>
        <w:t xml:space="preserve">Zitiervorschlag: § 12 AMPreisV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https://recht.nulegal.eu/gesetze/AMPreisV/12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