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AMPreisV — Anwendungsbereich der Verordnung</w:t>
      </w:r>
    </w:p>
    <w:p>
      <w:r>
        <w:rPr>
          <w:color w:val="555555"/>
          <w:sz w:val="18"/>
        </w:rPr>
        <w:t xml:space="preserve">Arzneimittelpreisverordnung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Für Arzneimittel, die im voraus hergestellt und in einer zur Abgabe an den Verbraucher bestimmten Packung in den Verkehr gebracht werden (Fertigarzneimittel) und deren Abgabe nach § 43 Abs. 1 des Arzneimittelgesetzes den Apotheken vorbehalten ist, werden durch diese Verordnung festgelegt</w:t>
      </w:r>
    </w:p>
    <w:p>
      <w:pPr>
        <w:ind w:left="420"/>
      </w:pPr>
      <w:r>
        <w:t xml:space="preserve">1. die Preisspannen des Großhandels bei der Abgabe im Wiederverkauf an Apotheken oder Tierärzte (§ 2),</w:t>
      </w:r>
    </w:p>
    <w:p>
      <w:pPr>
        <w:ind w:left="420"/>
      </w:pPr>
      <w:r>
        <w:t xml:space="preserve">2. die Preisspannen sowie die Preise für besondere Leistungen der Apotheken bei der Abgabe im Wiederverkauf (§§ 3, 6 und 7),</w:t>
      </w:r>
    </w:p>
    <w:p>
      <w:pPr>
        <w:ind w:left="420"/>
      </w:pPr>
      <w:r>
        <w:t xml:space="preserve">3. die Preisspannen der Tierärzte bei der Abgabe im Wiederverkauf an Tierhalter (§ 10).</w:t>
      </w:r>
    </w:p>
    <w:p>
      <w:r>
        <w:t xml:space="preserve">(2) Für Arzneimittel, die in Apotheken oder von Tierärzten hergestellt werden und deren Abgabe nach § 43 Abs. 1 und 3 des Arzneimittelgesetzes den Apotheken vorbehalten ist, werden durch diese Verordnung festgelegt</w:t>
      </w:r>
    </w:p>
    <w:p>
      <w:pPr>
        <w:ind w:left="420"/>
      </w:pPr>
      <w:r>
        <w:t xml:space="preserve">1. die Preisspannen sowie die Preise für besondere Leistungen der Apotheken (§§ 4 bis 7),</w:t>
      </w:r>
    </w:p>
    <w:p>
      <w:pPr>
        <w:ind w:left="420"/>
      </w:pPr>
      <w:r>
        <w:t xml:space="preserve">2. die Preisspannen der Tierärzte (§ 10).</w:t>
      </w:r>
    </w:p>
    <w:p>
      <w:r>
        <w:t xml:space="preserve">(3) Ausgenommen sind die Preisspannen und Preise der Apotheken, wenn es sich um eine Abgabe handelt</w:t>
      </w:r>
    </w:p>
    <w:p>
      <w:pPr>
        <w:ind w:left="420"/>
      </w:pPr>
      <w:r>
        <w:t xml:space="preserve">1. durch Krankenhausapotheken, soweit es sich nicht um die Abgabe von parenteralen Zubereitungen aus Fertigarzneimitteln in der Onkologie zur ambulanten Versorgung handelt,</w:t>
      </w:r>
    </w:p>
    <w:p>
      <w:pPr>
        <w:ind w:left="420"/>
      </w:pPr>
      <w:r>
        <w:t xml:space="preserve">2. an Krankenhäuser und diesen nach § 14 Absatz 8 Satz 2 des Apothekengesetzes gleichgestellte Einrichtungen sowie an Justizvollzugsanstalten und Jugendarrestanstalten,</w:t>
      </w:r>
    </w:p>
    <w:p>
      <w:pPr>
        <w:ind w:left="420"/>
      </w:pPr>
      <w:r>
        <w:t xml:space="preserve">3. an die in § 47 Absatz 1 Satz 1 Nummer 2 bis 10 des Arzneimittelgesetzes genannten Personen und Einrichtungen unter den dort bezeichneten Voraussetzungen,</w:t>
      </w:r>
    </w:p>
    <w:p>
      <w:pPr>
        <w:ind w:left="420"/>
      </w:pPr>
      <w:r>
        <w:t xml:space="preserve">3a. von Impfstoffen, die zur Anwendung bei öffentlich empfohlenen Schutzimpfungen im Sinne des § 20 Abs. 3 des Infektionsschutzgesetzes vom 20. Juli 2000 (BGBl. I S. 1045) bestimmt sind und diese Impfstoffe an Krankenhäuser, Gesundheitsämter und Ärzte abgegeben werden, sofern es sich nicht um die Abgabe von saisonalen Grippeimpfstoffen an Ärzte handelt,</w:t>
      </w:r>
    </w:p>
    <w:p>
      <w:pPr>
        <w:ind w:left="420"/>
      </w:pPr>
      <w:r>
        <w:t xml:space="preserve">4. von Impfstoffen, die zur Anwendung bei allgemeinen, insbesondere behördlichen oder betrieblichen Grippevorsorgemaßnahmen bestimmt sind,</w:t>
      </w:r>
    </w:p>
    <w:p>
      <w:pPr>
        <w:ind w:left="420"/>
      </w:pPr>
      <w:r>
        <w:t xml:space="preserve">5. an Gesundheitsämter für Maßnahmen der Rachitisvorsorge,</w:t>
      </w:r>
    </w:p>
    <w:p>
      <w:pPr>
        <w:ind w:left="420"/>
      </w:pPr>
      <w:r>
        <w:t xml:space="preserve">6. von Arzneimitteln, die zur Anwendung bei der Dialyse Nierenkranker bestimmt sind,</w:t>
      </w:r>
    </w:p>
    <w:p>
      <w:pPr>
        <w:ind w:left="420"/>
      </w:pPr>
      <w:r>
        <w:t xml:space="preserve">7. von aus Fertigarzneimitteln auf Grund ärztlicher Verordnung entnommenen Teilmengen, soweit deren Darreichungsform, Zusammensetzung und Stärke unverändert bleibt,</w:t>
      </w:r>
    </w:p>
    <w:p>
      <w:pPr>
        <w:ind w:left="420"/>
      </w:pPr>
      <w:r>
        <w:t xml:space="preserve">8. von Fertigarzneimitteln in parenteralen Zubereitungen.</w:t>
      </w:r>
    </w:p>
    <w:p>
      <w:r>
        <w:t xml:space="preserve">Im Fall von Satz 1 Nummer 1 bleibt § 129a des Fünften Buches Sozialgesetzbuch unberührt. Im Fall von Satz 1 Nr. 7 können Sozialleistungsträger, private Krankenversicherungen oder deren Verbände das Verfahren für die Berechnung der Apothekenabgabepreise für die zu ihren Lasten abgegebenen Arzneimittel mit Apotheken oder deren Verbänden vereinbaren.</w:t>
      </w:r>
    </w:p>
    <w:p>
      <w:r>
        <w:t xml:space="preserve">(4) Ausgenommen sind die Preisspannen und Preise von nicht verschreibungspflichtigen Arzneimitteln.</w:t>
      </w:r>
    </w:p>
    <w:p>
      <w:r>
        <w:rPr>
          <w:color w:val="555555"/>
          <w:sz w:val="17"/>
        </w:rPr>
        <w:t xml:space="preserve">Zitiervorschlag: § 1 AMPreisV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https://recht.nulegal.eu/gesetze/AMPreisV/1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