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AMPV</w:t>
      </w:r>
    </w:p>
    <w:p>
      <w:r>
        <w:rPr>
          <w:color w:val="555555"/>
          <w:sz w:val="18"/>
        </w:rPr>
        <w:t xml:space="preserve">Arzneimittelprüfrichtlinien-Verordnung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AMPV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https://recht.nulegal.eu/gesetze/AMPV/schlussformel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