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AMPV</w:t>
      </w:r>
    </w:p>
    <w:p>
      <w:r>
        <w:rPr>
          <w:color w:val="555555"/>
          <w:sz w:val="18"/>
        </w:rPr>
        <w:t xml:space="preserve">Arzneimittelprüfrichtlinien-Verordnung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Auf Grund des § 26 Absatz 1 des Arzneimittelgesetzes, der zuletzt durch Artikel 52 Nummer 5 der Verordnung vom 31. August 2015 (BGBl. I S. 1474) geändert worden ist, verordnet das Bundesministerium für Gesundheit im Einvernehmen mit dem Bundesministerium für Umwelt, Naturschutz, Bau und Reaktorsicherheit:</w:t>
      </w:r>
    </w:p>
    <w:p>
      <w:r>
        <w:rPr>
          <w:color w:val="555555"/>
          <w:sz w:val="17"/>
        </w:rPr>
        <w:t xml:space="preserve">Zitiervorschlag: Eingangsformel AMPV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https://recht.nulegal.eu/gesetze/AMPV/eingangsformel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