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AMPV — Anforderungen an einzureichende Unterlagen</w:t>
      </w:r>
    </w:p>
    <w:p>
      <w:r>
        <w:rPr>
          <w:color w:val="555555"/>
          <w:sz w:val="18"/>
        </w:rPr>
        <w:t xml:space="preserve">Arzneimittelprüfrichtlinien-Verordnung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Angaben, Unterlagen und Gutachten, die nach den §§ 22 bis 24 des Arzneimittelgesetzes, auch in Verbindung mit § 38 Absatz 2 und § 39b Absatz 1 des Arzneimittelgesetzes, bei der nach § 77 Absatz 1 oder Absatz 2 des Arzneimittelgesetzes zuständigen Bundesoberbehörde einzureichen sind, müssen die Anforderungen erfüllen, die in Anhang I Teil I bis III der Richtlinie 2001/83/EG des Europäischen Parlaments und des Rates vom 6. November 2001 zur Schaffung eines Gemeinschaftskodexes für Humanarzneimittel (ABl. L 311 vom 28.11.2001, S. 67) in der jeweils geltenden Fassung geregelt sind.</w:t>
      </w:r>
    </w:p>
    <w:p>
      <w:r>
        <w:rPr>
          <w:color w:val="555555"/>
          <w:sz w:val="17"/>
        </w:rPr>
        <w:t xml:space="preserve">Zitiervorschlag: § 1 AMPV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