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AMHV — Übergangsregelung</w:t>
      </w:r>
    </w:p>
    <w:p>
      <w:r>
        <w:rPr>
          <w:color w:val="555555"/>
          <w:sz w:val="18"/>
        </w:rPr>
        <w:t xml:space="preserve">Arzneimittel-Härtefall-Verordnung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Härtefallprogramme, die bei Inkrafttreten der Verordnung durchgeführt werden, können unabhängig von den Vorgaben dieser Verordnung weitergeführt werden.</w:t>
      </w:r>
    </w:p>
    <w:p>
      <w:r>
        <w:rPr>
          <w:color w:val="555555"/>
          <w:sz w:val="17"/>
        </w:rPr>
        <w:t xml:space="preserve">Zitiervorschlag: § 9 AMHV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https://recht.nulegal.eu/gesetze/AMHV/9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