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AMHV — Verantwortungsbereich der verantwortlichen Person</w:t>
      </w:r>
    </w:p>
    <w:p>
      <w:r>
        <w:rPr>
          <w:color w:val="555555"/>
          <w:sz w:val="18"/>
        </w:rPr>
        <w:t xml:space="preserve">Arzneimittel-Härtefall-Verordnung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verantwortliche Person nach § 3 Absatz 1 hat sicherzustellen, dass</w:t>
      </w:r>
    </w:p>
    <w:p>
      <w:pPr>
        <w:ind w:left="420"/>
      </w:pPr>
      <w:r>
        <w:t xml:space="preserve">1. die Umsetzung des Härtefallprogramms ordnungsgemäß erfolgt,</w:t>
      </w:r>
    </w:p>
    <w:p>
      <w:pPr>
        <w:ind w:left="420"/>
      </w:pPr>
      <w:r>
        <w:t xml:space="preserve">2. alle Bedingungen und Einschränkungen hinsichtlich der sicheren und wirksamen Anwendung des Arzneimittels erfüllt werden und den beteiligten Personen die hierfür erforderlichen Informationen gegeben werden,</w:t>
      </w:r>
    </w:p>
    <w:p>
      <w:pPr>
        <w:ind w:left="420"/>
      </w:pPr>
      <w:r>
        <w:t xml:space="preserve">3. das Arzneimittel nur in Verkehr gelangt, wenn auf den Behältnissen und soweit verwendet auf den äußeren Umhüllungen mindestens folgende Angaben enthalten sind:</w:t>
      </w:r>
    </w:p>
    <w:p>
      <w:pPr>
        <w:ind w:left="780"/>
      </w:pPr>
      <w:r>
        <w:t xml:space="preserve">a) Bezeichnung oder Code des Arzneimittels,</w:t>
      </w:r>
    </w:p>
    <w:p>
      <w:pPr>
        <w:ind w:left="780"/>
      </w:pPr>
      <w:r>
        <w:t xml:space="preserve">b) Name und Anschrift der verantwortlichen Person,</w:t>
      </w:r>
    </w:p>
    <w:p>
      <w:pPr>
        <w:ind w:left="780"/>
      </w:pPr>
      <w:r>
        <w:t xml:space="preserve">c) Chargenbezeichnung,</w:t>
      </w:r>
    </w:p>
    <w:p>
      <w:pPr>
        <w:ind w:left="780"/>
      </w:pPr>
      <w:r>
        <w:t xml:space="preserve">d) Art der Anwendung,</w:t>
      </w:r>
    </w:p>
    <w:p>
      <w:pPr>
        <w:ind w:left="780"/>
      </w:pPr>
      <w:r>
        <w:t xml:space="preserve">e) Wirkstoffbezeichnung,</w:t>
      </w:r>
    </w:p>
    <w:p>
      <w:pPr>
        <w:ind w:left="780"/>
      </w:pPr>
      <w:r>
        <w:t xml:space="preserve">f) Verfalldatum,</w:t>
      </w:r>
    </w:p>
    <w:p>
      <w:pPr>
        <w:ind w:left="780"/>
      </w:pPr>
      <w:r>
        <w:t xml:space="preserve">g) soweit erforderlich, Aufbewahrungs- und Lagerungshinweise,</w:t>
      </w:r>
    </w:p>
    <w:p>
      <w:pPr>
        <w:ind w:left="780"/>
      </w:pPr>
      <w:r>
        <w:t xml:space="preserve">h) Hinweis, dass das Arzneimittel ohne Genehmigung oder Zulassung im Rahmen eines Härtefallprogramms zur Verfügung gestellt wird,</w:t>
      </w:r>
    </w:p>
    <w:p>
      <w:pPr>
        <w:ind w:left="420"/>
      </w:pPr>
      <w:r>
        <w:t xml:space="preserve">4. die Herstellung, Einfuhr und Freigabe nach den in der Arzneimittel- und Wirkstoffherstellungsverordnung vorgesehenen Regelungen für Prüfpräparate erfolgt,</w:t>
      </w:r>
    </w:p>
    <w:p>
      <w:pPr>
        <w:ind w:left="420"/>
      </w:pPr>
      <w:r>
        <w:t xml:space="preserve">5. die wesentlichen Unterlagen des Härtefallprogramms nach dessen Beendigung oder Abbruch mindestens zehn Jahre aufbewahrt werden; andere Vorschriften zur Aufbewahrung von medizinischen Unterlagen bleiben unberührt.</w:t>
      </w:r>
    </w:p>
    <w:p>
      <w:r>
        <w:rPr>
          <w:color w:val="555555"/>
          <w:sz w:val="17"/>
        </w:rPr>
        <w:t xml:space="preserve">Zitiervorschlag: § 7 AMHV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