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AMHV — Mitteilungspflichten der verantwortlichen Person</w:t>
      </w:r>
    </w:p>
    <w:p>
      <w:r>
        <w:rPr>
          <w:color w:val="555555"/>
          <w:sz w:val="18"/>
        </w:rPr>
        <w:t xml:space="preserve">Arzneimittel-Härtefall-Verordnung</w:t>
      </w:r>
    </w:p>
    <w:p>
      <w:r>
        <w:rPr>
          <w:color w:val="555555"/>
          <w:sz w:val="18"/>
        </w:rPr>
        <w:t xml:space="preserve">Stand: 10.06.2019 (konsolidierte Textfassung, kein amtliches Inkrafttretensdatum)</w:t>
      </w:r>
    </w:p>
    <w:p>
      <w:r>
        <w:t xml:space="preserve">(1) Die verantwortliche Person nach § 3 Absatz 1 hat</w:t>
      </w:r>
    </w:p>
    <w:p>
      <w:pPr>
        <w:ind w:left="420"/>
      </w:pPr>
      <w:r>
        <w:t xml:space="preserve">1. jeden Verdachtsfall einer schwerwiegenden Nebenwirkung, der ihr von den teilnehmenden Ärztinnen und Ärzten mitgeteilt oder ihr auf anderem Weg zur Kenntnis gebracht worden ist, zu dokumentieren und der zuständigen Bundesoberbehörde unverzüglich, spätestens jedoch innerhalb von 15 Tagen nach Bekanntwerden, elektronisch mitzuteilen,</w:t>
      </w:r>
    </w:p>
    <w:p>
      <w:pPr>
        <w:ind w:left="420"/>
      </w:pPr>
      <w:r>
        <w:t xml:space="preserve">2. jede Änderung der Angaben nach § 3 der zuständigen Bundesoberbehörde unverzüglich anzuzeigen und die entsprechenden Unterlagen beizufügen,</w:t>
      </w:r>
    </w:p>
    <w:p>
      <w:pPr>
        <w:ind w:left="420"/>
      </w:pPr>
      <w:r>
        <w:t xml:space="preserve">3. der zuständigen Bundesoberbehörde unverzüglich den Abbruch des Härtefallprogramms unter Angabe der Gründe mitzuteilen,</w:t>
      </w:r>
    </w:p>
    <w:p>
      <w:pPr>
        <w:ind w:left="420"/>
      </w:pPr>
      <w:r>
        <w:t xml:space="preserve">4. nach Abschluss des Härtefallprogramms der zuständigen Bundesoberbehörde einen Sicherheitsbericht vorzulegen, der insbesondere alle schwerwiegenden Nebenwirkungen und alle nicht schwerwiegenden unerwarteten Nebenwirkungen erfasst und bewertet,</w:t>
      </w:r>
    </w:p>
    <w:p>
      <w:pPr>
        <w:ind w:left="420"/>
      </w:pPr>
      <w:r>
        <w:t xml:space="preserve">5. der zuständigen Bundesoberbehörde neue Gutachten nach Artikel 83 Absatz 4 der Verordnung (EG) Nr. 726/2004 und Erkenntnisse aus anderen Härtefallprogrammen, die in einem anderen Mitgliedstaat der Europäischen Union oder in einem anderen Vertragsstaat des Abkommens über den Europäischen Wirtschaftsraum durchgeführt werden, unverzüglich vorzulegen oder mitzuteilen.</w:t>
      </w:r>
    </w:p>
    <w:p>
      <w:r>
        <w:t xml:space="preserve">(2) Änderungen, die sich auf das Anwendungsgebiet, die Stärke oder die Darreichungsform des Arzneimittels im Rahmen des Härtefallprogramms beziehen sowie Änderungen, die geeignet sind, sich auf die Sicherheit der Patientinnen und Patienten auszuwirken, dürfen erst mit Zugang einer erneuten bestätigten Anzeige nach § 4 vollzogen werden.</w:t>
      </w:r>
    </w:p>
    <w:p>
      <w:r>
        <w:t xml:space="preserve">(3) Die verantwortliche Person hat dafür Sorge zu tragen, dass Arzneimittelrisiken der zuständigen Bundesoberbehörde unverzüglich mitgeteilt werden. Sie hat die zur Risikoabwehr erforderlichen Maßnahmen unverzüglich zu ergreifen.</w:t>
      </w:r>
    </w:p>
    <w:p>
      <w:r>
        <w:rPr>
          <w:color w:val="555555"/>
          <w:sz w:val="17"/>
        </w:rPr>
        <w:t xml:space="preserve">Zitiervorschlag: § 6 AMHV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https://recht.nulegal.eu/gesetze/AMHV/6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