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AMHV — Dauer des Härtefallprogramms, erneute Anzeige</w:t>
      </w:r>
    </w:p>
    <w:p>
      <w:r>
        <w:rPr>
          <w:color w:val="555555"/>
          <w:sz w:val="18"/>
        </w:rPr>
        <w:t xml:space="preserve">Arzneimittel-Härtefall-Verordnung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Härtefallprogramm endet unbeschadet von § 4 Absatz 3 mit dem Abbruch durch die verantwortliche Person oder mit der tatsächlichen Verfügbarkeit des Arzneimittels auf dem Markt, spätestens jedoch ein Jahr nach Zugang der bestätigten Anzeige oder der nach § 4 Absatz 5 erforderlichen Genehmigung.</w:t>
      </w:r>
    </w:p>
    <w:p>
      <w:r>
        <w:t xml:space="preserve">(2) Eine erneute Anzeige ist zulässig. Dabei kann auf bereits vorgelegte Unterlagen Bezug genommen werden, soweit sich keine Änderungen hierzu ergeben haben.</w:t>
      </w:r>
    </w:p>
    <w:p>
      <w:r>
        <w:rPr>
          <w:color w:val="555555"/>
          <w:sz w:val="17"/>
        </w:rPr>
        <w:t xml:space="preserve">Zitiervorschlag: § 5 AMHV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https://recht.nulegal.eu/gesetze/AMHV/5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