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AMHV — Anzeige des Härtefallprogramms</w:t>
      </w:r>
    </w:p>
    <w:p>
      <w:r>
        <w:rPr>
          <w:color w:val="555555"/>
          <w:sz w:val="18"/>
        </w:rPr>
        <w:t xml:space="preserve">Arzneimittel-Härtefall-Verordnung</w:t>
      </w:r>
    </w:p>
    <w:p>
      <w:r>
        <w:rPr>
          <w:color w:val="555555"/>
          <w:sz w:val="18"/>
        </w:rPr>
        <w:t xml:space="preserve">Stand: 10.06.2019 (konsolidierte Textfassung, kein amtliches Inkrafttretensdatum)</w:t>
      </w:r>
    </w:p>
    <w:p>
      <w:r>
        <w:t xml:space="preserve">(1) Eine Person, die die Verantwortung für die Veranlassung, die Organisation und Finanzierung eines Härtefallprogramms übernimmt (verantwortliche Person), hat das Härtefallprogramm der zuständigen Bundesoberbehörde anzuzeigen. Hat die verantwortliche Person ihren Sitz nicht in einem Mitgliedstaat der Europäischen Union oder in einem anderen Vertragsstaat des Abkommens über den Europäischen Wirtschaftsraum, so benennt sie eine Vertreterin oder einen Vertreter mit Sitz in der Europäischen Union oder in einem anderen Vertragsstaat des Abkommens über den Europäischen Wirtschaftsraum.</w:t>
      </w:r>
    </w:p>
    <w:p>
      <w:r>
        <w:t xml:space="preserve">(2) Für die Anzeige sind folgende Angaben und Unterlagen erforderlich:</w:t>
      </w:r>
    </w:p>
    <w:p>
      <w:pPr>
        <w:ind w:left="420"/>
      </w:pPr>
      <w:r>
        <w:t xml:space="preserve">1. Name oder Firma sowie die Anschrift der verantwortlichen Person und, sofern vorhanden, des in der Europäischen Union oder in einem anderen Vertragsstaat des Abkommens über den Europäischen Wirtschaftsraum niedergelassenen Vertreters,</w:t>
      </w:r>
    </w:p>
    <w:p>
      <w:pPr>
        <w:ind w:left="420"/>
      </w:pPr>
      <w:r>
        <w:t xml:space="preserve">2. Bezeichnung oder Code des Arzneimittels, Bezeichnung der Wirkstoffe nach Art und Menge, sonstige Bestandteile nach der Art, Darreichungsform, Art der Anwendung, Dosierung und Behandlungsschema,</w:t>
      </w:r>
    </w:p>
    <w:p>
      <w:pPr>
        <w:ind w:left="420"/>
      </w:pPr>
      <w:r>
        <w:t xml:space="preserve">3. Beschreibung der zu einer schweren Behinderung führenden oder lebensbedrohenden Erkrankung, an der die Patientinnen und Patienten leiden und für die das Arzneimittel bestimmt ist,</w:t>
      </w:r>
    </w:p>
    <w:p>
      <w:pPr>
        <w:ind w:left="420"/>
      </w:pPr>
      <w:r>
        <w:t xml:space="preserve">4. Kriterien für die Auswahl der Patientinnen und Patienten und Angabe der voraussichtlichen Patientenanzahl,</w:t>
      </w:r>
    </w:p>
    <w:p>
      <w:pPr>
        <w:ind w:left="420"/>
      </w:pPr>
      <w:r>
        <w:t xml:space="preserve">5. Begründung, dass diese Patientinnen und Patienten nicht zufriedenstellend mit einem zum Inverkehrbringen im Geltungsbereich des Arzneimittelgesetzes genehmigten oder zugelassenen Arzneimittel behandelt werden können,</w:t>
      </w:r>
    </w:p>
    <w:p>
      <w:pPr>
        <w:ind w:left="420"/>
      </w:pPr>
      <w:r>
        <w:t xml:space="preserve">6. Begründung dafür, dass die Patientinnen oder Patienten in eine laufende klinische Prüfung nicht einbezogen werden können,</w:t>
      </w:r>
    </w:p>
    <w:p>
      <w:pPr>
        <w:ind w:left="420"/>
      </w:pPr>
      <w:r>
        <w:t xml:space="preserve">7. Nachweise, dass das Arzneimittel die nach den anerkannten pharmazeutischen Regeln angemessene Qualität aufweist, sowie eine Bestätigung der sachkundigen Person nach § 14 des Arzneimittelgesetzes, dass das Arzneimittel nach den Grundsätzen und Leitlinien der Guten Herstellungspraxis für Arzneimittel hergestellt ist,</w:t>
      </w:r>
    </w:p>
    <w:p>
      <w:pPr>
        <w:ind w:left="420"/>
      </w:pPr>
      <w:r>
        <w:t xml:space="preserve">8. Belege und Begründung für die Annahme, dass das Arzneimittel sicher und wirksam bei der vorgesehenen Anwendung ist, in der Regel durch Vorlage der Ergebnisse konfirmatorischer klinischer Prüfungen,</w:t>
      </w:r>
    </w:p>
    <w:p>
      <w:pPr>
        <w:ind w:left="420"/>
      </w:pPr>
      <w:r>
        <w:t xml:space="preserve">9. Kriterien für das Aussetzen oder vorzeitige Beendigen des Härtefallprogramms,</w:t>
      </w:r>
    </w:p>
    <w:p>
      <w:pPr>
        <w:ind w:left="420"/>
      </w:pPr>
      <w:r>
        <w:t xml:space="preserve">10. Nähere Angaben</w:t>
      </w:r>
    </w:p>
    <w:p>
      <w:pPr>
        <w:ind w:left="780"/>
      </w:pPr>
      <w:r>
        <w:t xml:space="preserve">a) zur genehmigten klinischen Prüfung des Arzneimittels im vorgesehenen Anwendungsgebiet mit Angabe der EudraCT-Nummer oder</w:t>
      </w:r>
    </w:p>
    <w:p>
      <w:pPr>
        <w:ind w:left="780"/>
      </w:pPr>
      <w:r>
        <w:t xml:space="preserve">b) zur klinischen Prüfung des Arzneimittels im vorgesehenen Anwendungsgebiet in einem Drittstaat und Nachweis, dass diese nach den international harmonisierten Standards der Guten Klinischen Praxis durchgeführt wird, oder</w:t>
      </w:r>
    </w:p>
    <w:p>
      <w:pPr>
        <w:ind w:left="780"/>
      </w:pPr>
      <w:r>
        <w:t xml:space="preserve">c) über den Genehmigungs- oder Zulassungsantrag, der für das Arzneimittel in dem vorgesehenen Anwendungsgebiet bei der Europäischen Arzneimittel-Agentur, der zuständigen Bundesoberbehörde oder einer für die Zulassung zuständigen Behörde eines Mitgliedstaates gestellt wurde,</w:t>
      </w:r>
    </w:p>
    <w:p>
      <w:pPr>
        <w:ind w:left="420"/>
      </w:pPr>
      <w:r>
        <w:t xml:space="preserve">11. bei Arzneimitteln, die aus einem gentechnisch veränderten Organismus oder aus einer Kombination von gentechnisch veränderten Organismen bestehen oder solche enthalten, Unterlagen gemäß Anhang II und III der Richtlinie 2001/18/EG des Europäischen Parlaments und des Rates vom 12. März 2001 über die absichtliche Freisetzung genetisch veränderter Organismen in die Umwelt und zur Aufhebung der Richtlinie 90/220/EWG des Rates (ABl. L 106 vom 17.4.2001, S. 1),</w:t>
      </w:r>
    </w:p>
    <w:p>
      <w:pPr>
        <w:ind w:left="420"/>
      </w:pPr>
      <w:r>
        <w:t xml:space="preserve">12. Begründung für eine Behandlung mit einem Arzneimittel, für das ein Antrag auf Genehmigung oder Zulassung des Arzneimittels versagt, zurückgenommen, widerrufen oder ruhend gestellt worden ist oder die Genehmigung einer klinischen Prüfung versagt, zurückgenommen, widerrufen oder ruhend gestellt oder unter Nebenbedingungen erteilt worden ist, unter Angabe der Entscheidungsgründe,</w:t>
      </w:r>
    </w:p>
    <w:p>
      <w:pPr>
        <w:ind w:left="420"/>
      </w:pPr>
      <w:r>
        <w:t xml:space="preserve">13. die in der klinischen Prüfung der Prüferin oder dem Prüfer zur Verfügung gestellte aktuelle Prüferinformation oder der im Antrag auf Zulassung oder Genehmigung vorgesehene Entwurf einer Zusammenfassung der Produktmerkmale des Arzneimittels,</w:t>
      </w:r>
    </w:p>
    <w:p>
      <w:pPr>
        <w:ind w:left="420"/>
      </w:pPr>
      <w:r>
        <w:t xml:space="preserve">14. Informationen und Unterlagen, die die Patientinnen und Patienten erhalten, in deutscher Sprache sowie eine Darstellung des Verfahrens der Einwilligung nach Aufklärung durch eine teilnehmende Ärztin oder einen teilnehmenden Arzt,</w:t>
      </w:r>
    </w:p>
    <w:p>
      <w:pPr>
        <w:ind w:left="420"/>
      </w:pPr>
      <w:r>
        <w:t xml:space="preserve">15. Anforderungen an die ärztlichen Einrichtungen und an die Qualifikation der teilnehmenden Ärztinnen und Ärzte,</w:t>
      </w:r>
    </w:p>
    <w:p>
      <w:pPr>
        <w:ind w:left="420"/>
      </w:pPr>
      <w:r>
        <w:t xml:space="preserve">16. Beschreibung der vorgesehenen Maßnahmen zur Gewährleistung einer sicheren Aufbewahrung, Anwendung sowie des Verbleibs der zur Verfügung gestellten Arzneimittel,</w:t>
      </w:r>
    </w:p>
    <w:p>
      <w:pPr>
        <w:ind w:left="420"/>
      </w:pPr>
      <w:r>
        <w:t xml:space="preserve">17. Angaben, soweit zutreffend, zu bereits laufenden Härtefallprogrammen in Mitgliedstaaten der Europäischen Union oder anderen Vertragsstaaten des Abkommens über den Europäischen Wirtschaftsraum und, soweit vorhanden, Gutachten des Ausschusses für Humanarzneimittel nach Artikel 83 Absatz 4 der Verordnung (EG) Nr. 726/2004,</w:t>
      </w:r>
    </w:p>
    <w:p>
      <w:pPr>
        <w:ind w:left="420"/>
      </w:pPr>
      <w:r>
        <w:t xml:space="preserve">18. Einverständniserklärung dafür, die Information über die Grundzüge des angezeigten Härtefallprogramms an die Öffentlichkeit weiterzugeben.</w:t>
      </w:r>
    </w:p>
    <w:p>
      <w:r>
        <w:t xml:space="preserve">(3) Die Anzeige und die erforderlichen Unterlagen nach Absatz 2 bedürfen der Schriftform und der elektronischen Form. Die Unterlagen können in deutscher oder englischer Sprache eingereicht werden; davon ausgenommen sind die Unterlagen nach Absatz 2 Nummer 14.</w:t>
      </w:r>
    </w:p>
    <w:p>
      <w:r>
        <w:t xml:space="preserve">(4) Die zuständige Bundesoberbehörde veröffentlicht Hinweise zur Einreichung der Angaben und Unterlagen auf ihrer Website.</w:t>
      </w:r>
    </w:p>
    <w:p>
      <w:r>
        <w:rPr>
          <w:color w:val="555555"/>
          <w:sz w:val="17"/>
        </w:rPr>
        <w:t xml:space="preserve">Zitiervorschlag: § 3 AMHV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