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AMHV — Begriffsbestimmungen</w:t>
      </w:r>
    </w:p>
    <w:p>
      <w:r>
        <w:rPr>
          <w:color w:val="555555"/>
          <w:sz w:val="18"/>
        </w:rPr>
        <w:t xml:space="preserve">Arzneimittel-Härtefall-Verordnung</w:t>
      </w:r>
    </w:p>
    <w:p>
      <w:r>
        <w:rPr>
          <w:color w:val="555555"/>
          <w:sz w:val="18"/>
        </w:rPr>
        <w:t xml:space="preserve">Stand: 10.06.2019 (konsolidierte Textfassung, kein amtliches Inkrafttretensdatum)</w:t>
      </w:r>
    </w:p>
    <w:p>
      <w:r>
        <w:t xml:space="preserve">(1) Ein Härtefallprogramm ist ein „compassionate-use“-Programm nach der Verordnung (EG) Nr. 726/2004. Im Rahmen eines Härtefallprogramms können Arzneimittel ohne Genehmigung oder ohne Zulassung einer bestimmten Patientengruppe zur Verfügung gestellt werden, wenn ausreichende Hinweise auf die Wirksamkeit und Sicherheit des Arzneimittels vorliegen und für dieses eine klinische Prüfung durchgeführt wird oder ein Zulassungsantrag bei der Europäischen Arzneimittel-Agentur, der zuständigen Bundesoberbehörde oder einer für die Zulassung zuständigen Behörde eines Mitgliedstaates gestellt worden ist.</w:t>
      </w:r>
    </w:p>
    <w:p>
      <w:r>
        <w:t xml:space="preserve">(2) Ein Härtefall im Sinne dieser Verordnung liegt vor, wenn eine Gruppe von Patientinnen oder Patienten, die an einer Erkrankung leiden, welche zu einer schweren Behinderung führen würde oder lebensbedrohend ist, nicht mit einem Arzneimittel zufriedenstellend behandelt werden kann, das zum Inverkehrbringen im Geltungsbereich des Arzneimittelgesetzes genehmigt oder zugelassen ist.</w:t>
      </w:r>
    </w:p>
    <w:p>
      <w:r>
        <w:rPr>
          <w:color w:val="555555"/>
          <w:sz w:val="17"/>
        </w:rPr>
        <w:t xml:space="preserve">Zitiervorschlag: § 2 AMHV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