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AMHV — Inkrafttreten</w:t>
      </w:r>
    </w:p>
    <w:p>
      <w:r>
        <w:rPr>
          <w:color w:val="555555"/>
          <w:sz w:val="18"/>
        </w:rPr>
        <w:t xml:space="preserve">Arzneimittel-Härtefall-Verordnung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AMHV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https://recht.nulegal.eu/gesetze/AMHV/10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