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AMHV — Anwendungsbereich</w:t>
      </w:r>
    </w:p>
    <w:p>
      <w:r>
        <w:rPr>
          <w:color w:val="555555"/>
          <w:sz w:val="18"/>
        </w:rPr>
        <w:t xml:space="preserve">Arzneimittel-Härtefall-Verordnung</w:t>
      </w:r>
    </w:p>
    <w:p>
      <w:r>
        <w:rPr>
          <w:color w:val="555555"/>
          <w:sz w:val="18"/>
        </w:rPr>
        <w:t xml:space="preserve">Stand: 19.07.2022 (konsolidierte Textfassung, kein amtliches Inkrafttretensdatum)</w:t>
      </w:r>
    </w:p>
    <w:p>
      <w:r>
        <w:t xml:space="preserve">(1) Diese Verordnung regelt das Verfahren für das Inverkehrbringen von Arzneimitteln ohne Genehmigung oder ohne Zulassung in Härtefällen unter den Voraussetzungen, die in § 21 Absatz 2 Nummer 3 des Arzneimittelgesetzes in Verbindung mit Artikel 83 der Verordnung (EG) Nr. 726/2004 des Europäischen Parlaments und des Rates vom 31. März 2004 zur Festlegung der Verfahren der Europäischen Union für die Genehmigung und Überwachung von Humanarzneimitteln und zur Errichtung einer Europäischen Arzneimittel-Agentur (ABl. L 136 vom 30.4.2004, S. 1; L 201 vom 27.7.2012, S. 138), die zuletzt durch die Verordnung (EU) 2019/5 (ABl. L 4 vom 7.1.2019, S. 24) geändert worden ist, genannt werden. Die Verordnung gilt für Fertigarzneimittel, die weder im Geltungsbereich des Arzneimittelgesetzes noch in einem anderen Mitgliedstaat der Europäischen Union oder einem anderen Vertragsstaat des Abkommens über den Europäischen Wirtschaftsraum genehmigt oder zugelassen sind, aber der Genehmigungspflicht nach Artikel 3 Absatz 1 und 2 der Verordnung (EG) Nr. 726/2004 oder der Zulassungspflicht nach § 21 Absatz 1 des Arzneimittelgesetzes unterliegen.</w:t>
      </w:r>
    </w:p>
    <w:p>
      <w:r>
        <w:t xml:space="preserve">(2) Diese Verordnung ist nicht anzuwenden für den individuellen Einsatz eines nicht genehmigten oder nicht zugelassenen Arzneimittels bei nur einer Patientin oder einem Patienten unter der unmittelbaren Verantwortung einer Ärztin oder eines Arztes.</w:t>
      </w:r>
    </w:p>
    <w:p>
      <w:r>
        <w:rPr>
          <w:color w:val="555555"/>
          <w:sz w:val="17"/>
        </w:rPr>
        <w:t xml:space="preserve">Zitiervorschlag: § 1 AMHV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https://recht.nulegal.eu/gesetze/AMHV/1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