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AMGrHdlBetrV</w:t>
      </w:r>
    </w:p>
    <w:p>
      <w:r>
        <w:rPr>
          <w:color w:val="555555"/>
          <w:sz w:val="18"/>
        </w:rPr>
        <w:t xml:space="preserve">Arzneimittelhandelsverordnung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</w:t>
      </w:r>
    </w:p>
    <w:p>
      <w:pPr>
        <w:ind w:left="420"/>
      </w:pPr>
      <w:r>
        <w:t xml:space="preserve">- des § 12 Abs. 1 Nr. 1 und 2 des Arzneimittelgesetzes vom 24. August 1976 (BGBl. I S. 2445, 2448), dessen Absatz 1 durch Artikel 1 des Gesetzes vom 16. August 1986 (BGBl. I S. 1296) geändert worden ist, wird im Einvernehmen mit den Bundesministern für Wirtschaft, für Arbeit und Sozialordnung und für Ernährung, Landwirtschaft und Forsten und</w:t>
      </w:r>
    </w:p>
    <w:p>
      <w:pPr>
        <w:ind w:left="420"/>
      </w:pPr>
      <w:r>
        <w:t xml:space="preserve">- des § 54 Abs. 1 bis 2a des Arzneimittelgesetzes, dessen Überschrift sowie Absatz 1 Satz 1 und Absatz 2 Nr. 1 durch Artikel 1 des oben erwähnten Gesetzes vom 16. August 1986 und dessen Absatz 1 Satz 2 gemäß Artikel 1 der Dritten Zuständigkeitsanpassungs-Verordnung vom 26. November 1986 (BGBl. I S. 2089) geändert worden sind und dessen Absatz 2a durch Artikel 1 des Gesetzes vom 24. Februar 1983 (BGBl. I S. 169) eingefügt worden ist, wird im Einvernehmen mit den Bundesministern für Wirtschaft, für Umwelt, Naturschutz und Reaktorsicherheit und für Ernährung, Landwirtschaft und Forsten</w:t>
      </w:r>
    </w:p>
    <w:p>
      <w:r>
        <w:t xml:space="preserve">mit Zustimmung des Bundesrates verordnet:</w:t>
      </w:r>
    </w:p>
    <w:p>
      <w:r>
        <w:rPr>
          <w:color w:val="555555"/>
          <w:sz w:val="17"/>
        </w:rPr>
        <w:t xml:space="preserve">Zitiervorschlag: Eingangsformel AMGrHdlBetrV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https://recht.nulegal.eu/gesetze/AMGrHdlBetrV/eingangsformel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