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7c AMGrHdlBetrV — Selbstinspektion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die Beachtung der Vorschriften dieser Verordnung sicherzustellen, müssen regelmäßig Selbstinspektionen durchgeführt werden. Über die Selbstinspektionen und anschließend ergriffene Maßnahmen müssen Aufzeichnungen geführt und aufbewahrt werden.</w:t>
      </w:r>
    </w:p>
    <w:p>
      <w:r>
        <w:t xml:space="preserve">(2) Die nach § 2 Abs. 1 bestellte Person hat sich zu vergewissern, dass Arzneimittel nur von Lieferanten bezogen werden, die für den Handel mit Arzneimitteln befugt sind.</w:t>
      </w:r>
    </w:p>
    <w:p>
      <w:r>
        <w:rPr>
          <w:color w:val="555555"/>
          <w:sz w:val="17"/>
        </w:rPr>
        <w:t xml:space="preserve">Zitiervorschlag: § 7c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