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7a AMGrHdlBetrV — Rückrufplan, Rückrufe von Arzneimitteln</w:t>
      </w:r>
    </w:p>
    <w:p>
      <w:r>
        <w:rPr>
          <w:color w:val="555555"/>
          <w:sz w:val="18"/>
        </w:rPr>
        <w:t xml:space="preserve">Arzneimittelhandelsverordnung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einen Arzneimittelgroßhandel betreibt, muß einen Rückrufplan bereithalten, der die Durchführung jedes Rückrufes eines Arzneimittels gewährleistet, der nach Angaben der zuständigen Behörden oder des pharmazeutischen Unternehmers erfolgt.</w:t>
      </w:r>
    </w:p>
    <w:p>
      <w:r>
        <w:t xml:space="preserve">(2) Der Rückrufplan und die hierzu erforderlichen organisatorischen Abläufe müssen schriftlich oder elektronisch festgelegt sein. Über die Durchführung von Rückrufen müssen Aufzeichnungen geführt werden. § 7 Abs. 3 gilt entsprechend.</w:t>
      </w:r>
    </w:p>
    <w:p>
      <w:r>
        <w:rPr>
          <w:color w:val="555555"/>
          <w:sz w:val="17"/>
        </w:rPr>
        <w:t xml:space="preserve">Zitiervorschlag: § 7a AMGrHdlBetrV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https://recht.nulegal.eu/gesetze/AMGrHdlBetrV/7a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