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AMGrHdlBetrV — Bezug und Rücknahme von Arzneimitteln</w:t>
      </w:r>
    </w:p>
    <w:p>
      <w:r>
        <w:rPr>
          <w:color w:val="555555"/>
          <w:sz w:val="18"/>
        </w:rPr>
        <w:t xml:space="preserve">Arzneimittelhandelsverordnung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Arzneimittel dürfen nur von zur Abgabe von Arzneimitteln berechtigten Betrieben erworben werden.</w:t>
      </w:r>
    </w:p>
    <w:p>
      <w:r>
        <w:t xml:space="preserve">(2) Die Lieferungen sind bei jeder Annahme daraufhin zu überprüfen, ob</w:t>
      </w:r>
    </w:p>
    <w:p>
      <w:pPr>
        <w:ind w:left="420"/>
      </w:pPr>
      <w:r>
        <w:t xml:space="preserve">1. die Behältnisse unbeschädigt sind,</w:t>
      </w:r>
    </w:p>
    <w:p>
      <w:pPr>
        <w:ind w:left="420"/>
      </w:pPr>
      <w:r>
        <w:t xml:space="preserve">2. die Lieferung mit der Bestellung übereinstimmt,</w:t>
      </w:r>
    </w:p>
    <w:p>
      <w:pPr>
        <w:ind w:left="420"/>
      </w:pPr>
      <w:r>
        <w:t xml:space="preserve">3. der Lieferant unter Angabe der ausstellenden Behörde und des Ausstellungsdatums bestätigt hat, dass er über die notwendige Erlaubnis verfügt, und</w:t>
      </w:r>
    </w:p>
    <w:p>
      <w:pPr>
        <w:ind w:left="420"/>
      </w:pPr>
      <w:r>
        <w:t xml:space="preserve">4. der Arzneimittelvermittler, soweit er in Anspruch genommen wird, die notwendige Anzeige für die Registrierung vorgenommen hat.</w:t>
      </w:r>
    </w:p>
    <w:p>
      <w:r>
        <w:t xml:space="preserve">(3) Soweit die Arzneimittel von einem Betrieb mit einer Erlaubnis nach § 52a des Arzneimittelgesetzes oder von einem Betrieb mit einer durch einen anderen Mitgliedstaat der Europäischen Union erteilten Genehmigung nach Artikel 77 Absatz 1 der Richtlinie 2001/83/EG des Europäischen Parlaments und des Rates vom 6. November 2001 zur Schaffung eines Gemeinschaftskodexes für Humanarzneimittel (ABl. L 311 vom 28.11.2001, S. 67), die zuletzt durch die Verordnung (EU) 2017/745 (ABl. L 117 vom 5.5.2017, S. 1) geändert worden ist oder über einen Arzneimittelvermittler bezogen werden, hat sich der Empfänger von deren Einhaltung der Guten Vertriebspraxis zu überzeugen.</w:t>
      </w:r>
    </w:p>
    <w:p>
      <w:r>
        <w:t xml:space="preserve">(4) Arzneimittel können aus Betrieben und Einrichtungen, die über eine Erlaubnis nach § 52a des Arzneimittelgesetzes oder nach dem Apothekengesetz verfügen oder die sonst zur Abgabe an den Verbraucher berechtigt sind, zurückgenommen werden.</w:t>
      </w:r>
    </w:p>
    <w:p>
      <w:r>
        <w:rPr>
          <w:color w:val="555555"/>
          <w:sz w:val="17"/>
        </w:rPr>
        <w:t xml:space="preserve">Zitiervorschlag: § 4a AMGrHdlBetrV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https://recht.nulegal.eu/gesetze/AMGrHdlBetrV/4a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