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AMGKostV — Inkrafttreten, Außerkrafttreten</w:t>
      </w:r>
    </w:p>
    <w:p>
      <w:r>
        <w:rPr>
          <w:color w:val="555555"/>
          <w:sz w:val="18"/>
        </w:rPr>
        <w:t xml:space="preserve">AMG-Kostenverordnung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Diese Verordnung tritt am 1. Januar 2004 in Kraft.</w:t>
      </w:r>
    </w:p>
    <w:p>
      <w:r>
        <w:rPr>
          <w:color w:val="555555"/>
          <w:sz w:val="17"/>
        </w:rPr>
        <w:t xml:space="preserve">Zitiervorschlag: § 6 AMGKostV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https://recht.nulegal.eu/gesetze/AMGKostV/6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