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AMGKostV — Übergangsvorschriften</w:t>
      </w:r>
    </w:p>
    <w:p>
      <w:r>
        <w:rPr>
          <w:color w:val="555555"/>
          <w:sz w:val="18"/>
        </w:rPr>
        <w:t xml:space="preserve">AMG-Kostenverordnung</w:t>
      </w:r>
    </w:p>
    <w:p>
      <w:r>
        <w:rPr>
          <w:color w:val="555555"/>
          <w:sz w:val="18"/>
        </w:rPr>
        <w:t xml:space="preserve">Historische Fassung: Stand 10.06.2019 bis 01.10.2021. Dies ist nicht die aktuelle Fassung.</w:t>
      </w:r>
    </w:p>
    <w:p>
      <w:r>
        <w:t xml:space="preserve">(1) Die AMG-Kostenverordnung ist weiterhin anzuwenden in der Fassung vom 10. Dezember 2003 (BGBl. I S. 2510), die zuletzt durch Artikel 2 Absatz 26 des Gesetzes vom 7. August 2013 (BGBl. I S. 3154) geändert worden ist, wenn die zugrunde liegende individuell zurechenbare öffentliche Leistung vor dem 7. März 2015 beantragt oder begonnen, aber noch nicht vollständig erbracht wurde. Dies gilt nicht, wenn für die individuell zurechenbare öffentliche Leistung bereits ein Gebührentatbestand nach der AMG-Kostenverordnung in der Fassung vom 10. Dezember 2003, die zuletzt durch Artikel 2 Absatz 26 des Gesetzes vom 7. August 2013 (BGBl. I S. 3154) geändert worden ist, vorhanden war und die danach zu erhebende Gebühr höher ist als die in der AMG-Kostenverordnung in der Fassung vom 7. März 2015 vorgesehene Gebühr. In diesem Fall werden Gebühren nach der AMG-Kostenverordnung in der Fassung vom 7. März 2015 erhoben.</w:t>
      </w:r>
    </w:p>
    <w:p>
      <w:r>
        <w:t xml:space="preserve">(2) Die Kostenverordnung für die Registrierung homöopathischer Arzneimittel durch das Bundesinstitut für Arzneimittel und Medizinprodukte und das Bundesamt für Verbraucherschutz und Lebensmittelsicherheit ist weiterhin in der Fassung der Bekanntmachung vom 24. Oktober 2003 (BGBl. I S. 2157), die durch Artikel 2 Absatz 25 des Gesetzes vom 7. August 2013 (BGBl. I S. 3154) geändert worden ist, anzuwenden, wenn die zugrunde liegende individuell zurechenbare öffentliche Leistung vor dem 7. März 2015 beantragt oder begonnen, aber noch nicht vollständig erbracht wurde. Dies gilt nicht, wenn für die individuell zurechenbare Leistung bereits ein Gebührentatbestand in der Kostenverordnung in der Fassung der Bekanntmachung vom 24. Oktober 2003 (BGBl. I S. 2157), die durch Artikel 2 Absatz 25 des Gesetzes vom 7. August 2013 (BGBl. I S. 3154) geändert worden ist, vorhanden war und die danach zu erhebende Gebühr höher ist als die in der AMG-Kostenverordnung in der Fassung vom 7. März 2015 vorgesehene Gebühr. In diesem Fall werden Gebühren nach der AMG-Kostenverordnung in der Fassung vom 7. März 2015 erhoben.</w:t>
      </w:r>
    </w:p>
    <w:p>
      <w:r>
        <w:t xml:space="preserve">(3) Für individuell zurechenbare öffentliche Leistungen, die vor dem 7. März 2015 vorgenommen worden sind, können Gebühren nach Maßgabe der AMG-Kostenverordnung in der Fassung vom 7. März 2015 erhoben werden, soweit bei den individuell zurechenbaren öffentlichen Leistungen unter Hinweis auf die bevorstehende Ergänzung dieser Verordnung eine Kostenentscheidung ausdrücklich vorbehalten worden ist. Satz 1 gilt entsprechend, sofern eine individuell zurechenbare öffentliche Leistung bereits vor dem 7. März 2015 beantragt oder begonnen, aber noch nicht vollständig erbracht wurde.</w:t>
      </w:r>
    </w:p>
    <w:p>
      <w:r>
        <w:t xml:space="preserve">(4) Die nach den Gebührennummern 10 des Gebührenverzeichnisses zu erhebenden Gebühren ermäßigen sich um 50 Prozent, wenn die zugrunde liegende individuell zurechenbare öffentliche Leistung, soweit ein Antrag notwendig ist, bis zum 7. März 2016 beantragt worden ist. Die nach den Gebührennummern 10 des Gebührenverzeichnisses zu erhebenden Gebühren ermäßigen sich um 25 Prozent, wenn die zugrunde liegende individuell zurechenbare öffentliche Leistung, soweit ein Antrag notwendig ist, bis zum 7. März 2017 beantragt worden ist.</w:t>
      </w:r>
    </w:p>
    <w:p>
      <w:r>
        <w:rPr>
          <w:color w:val="555555"/>
          <w:sz w:val="17"/>
        </w:rPr>
        <w:t xml:space="preserve">Zitiervorschlag: § 5 AMGKostV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https://recht.nulegal.eu/gesetze/AMGKostV/5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