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AMGKostV — Anrechnung von Kosten für Sachverständige</w:t>
      </w:r>
    </w:p>
    <w:p>
      <w:r>
        <w:rPr>
          <w:color w:val="555555"/>
          <w:sz w:val="18"/>
        </w:rPr>
        <w:t xml:space="preserve">AMG-Kostenverordnung</w:t>
      </w:r>
    </w:p>
    <w:p>
      <w:r>
        <w:rPr>
          <w:color w:val="555555"/>
          <w:sz w:val="18"/>
        </w:rPr>
        <w:t xml:space="preserve">Historische Fassung: Stand 10.06.2019 bis 01.10.2021. Dies ist nicht die aktuelle Fassung.</w:t>
      </w:r>
    </w:p>
    <w:p>
      <w:r>
        <w:t xml:space="preserve">Wird eine der in den Nummern 1 bis 13 sowie 18 bis 25 des Gebührenverzeichnisses genannten individuell zurechenbaren öffentlichen Leistungen in den gesetzlich vorgesehenen Fällen unter Zugrundelegung der Beurteilung von Unterlagen durch unabhängige Sachverständige vorgenommen, so sind die hierfür zu erstattenden Kosten auf die festzusetzende Gebühr anzurechnen.</w:t>
      </w:r>
    </w:p>
    <w:p>
      <w:r>
        <w:rPr>
          <w:color w:val="555555"/>
          <w:sz w:val="17"/>
        </w:rPr>
        <w:t xml:space="preserve">Zitiervorschlag: § 4 AMGKostV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https://recht.nulegal.eu/gesetze/AMGKostV/4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