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AMGKostV — Ermäßigungen</w:t>
      </w:r>
    </w:p>
    <w:p>
      <w:r>
        <w:rPr>
          <w:color w:val="555555"/>
          <w:sz w:val="18"/>
        </w:rPr>
        <w:t xml:space="preserve">AMG-Kostenverordnung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 kann bis auf die Hälfte der vorgesehenen Gebühr ermäßigt werden, wenn der mit der individuell zurechenbaren öffentlichen Leistung verbundene Personal- und Sachaufwand einerseits und die Bedeutung, der wirtschaftliche Wert oder der sonstige Nutzen der individuell zurechenbaren öffentlichen Leistung für den Gebührenschuldner andererseits dies rechtfertigen.</w:t>
      </w:r>
    </w:p>
    <w:p>
      <w:r>
        <w:t xml:space="preserve">(2) Die nach den Nummern 1 bis 25 des Gebührenverzeichnisses zu erhebenden Gebühren können auf Antrag des Gebührenschuldners, soweit nicht Absatz 1 zur Anwendung kommt, bis auf ein Viertel der vorgesehenen Gebühr ermäßigt werden, wenn der Antragsteller einen den Entwicklungs- und Zulassungskosten angemessenen wirtschaftlichen Nutzen nicht erwarten kann und</w:t>
      </w:r>
    </w:p>
    <w:p>
      <w:pPr>
        <w:ind w:left="420"/>
      </w:pPr>
      <w:r>
        <w:t xml:space="preserve">1. an dem Inverkehrbringen des Arzneimittels aufgrund des Anwendungsgebietes ein öffentliches Interesse besteht, oder</w:t>
      </w:r>
    </w:p>
    <w:p>
      <w:pPr>
        <w:ind w:left="420"/>
      </w:pPr>
      <w:r>
        <w:t xml:space="preserve">2. die Anwendungsfälle selten oder die Zielgruppe, für die das Arzneimittel bestimmt ist, klein ist.</w:t>
      </w:r>
    </w:p>
    <w:p>
      <w:r>
        <w:rPr>
          <w:color w:val="555555"/>
          <w:sz w:val="17"/>
        </w:rPr>
        <w:t xml:space="preserve">Zitiervorschlag: § 3 AMGKostV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