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AMGKostV — Grundsatz</w:t>
      </w:r>
    </w:p>
    <w:p>
      <w:r>
        <w:rPr>
          <w:color w:val="555555"/>
          <w:sz w:val="18"/>
        </w:rPr>
        <w:t xml:space="preserve">AMG-Kostenverordnung</w:t>
      </w:r>
    </w:p>
    <w:p>
      <w:r>
        <w:rPr>
          <w:color w:val="555555"/>
          <w:sz w:val="18"/>
        </w:rPr>
        <w:t xml:space="preserve">Historische Fassung: Stand 10.06.2019 bis 01.10.2021. Dies ist nicht die aktuelle Fassung.</w:t>
      </w:r>
    </w:p>
    <w:p>
      <w:r>
        <w:t xml:space="preserve">(1) Das Bundesinstitut für Arzneimittel und Medizinprodukte und das Bundesamt für Verbraucherschutz und Lebensmittelsicherheit erheben nach dem anliegenden Gebührenverzeichnis und den folgenden Vorschriften Gebühren und Auslagen für Entscheidungen über die Zulassung von Arzneimitteln, für Entscheidungen über die Registrierung von homöopathischen Arzneimitteln und traditionellen pflanzlichen Arzneimitteln, für die Bearbeitung von Anträgen, für die Tätigkeit im Rahmen der Sammlung und Bewertung von Arzneimittelrisiken, für Widerspruchsverfahren gegen auf Grund des Arzneimittelgesetzes erlassene Verwaltungsakte oder gegen die Festsetzung von Gebühren und Auslagen nach dieser Verordnung sowie für andere individuell zurechenbare öffentliche Leistungen.</w:t>
      </w:r>
    </w:p>
    <w:p>
      <w:r>
        <w:t xml:space="preserve">(2) Für die Bekanntmachung im Bundesanzeiger werden in den Fällen des Erlöschens oder Ruhens einer Zulassung Auslagen nicht erhoben.</w:t>
      </w:r>
    </w:p>
    <w:p>
      <w:r>
        <w:rPr>
          <w:color w:val="555555"/>
          <w:sz w:val="17"/>
        </w:rPr>
        <w:t xml:space="preserve">Zitiervorschlag: § 1 AMGKostV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https://recht.nulegal.eu/gesetze/AMGKostV/1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