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AMGBlauzAusnV</w:t>
      </w:r>
    </w:p>
    <w:p>
      <w:r>
        <w:rPr>
          <w:color w:val="555555"/>
          <w:sz w:val="18"/>
        </w:rPr>
        <w:t xml:space="preserve">AMG-Blauzungenkrankheit-Ausnahmeverordnung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AMGBlauzAusnV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https://recht.nulegal.eu/gesetze/AMGBlauzAusnV/2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AMGBlauzAusnV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