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AMGBefugV</w:t>
      </w:r>
    </w:p>
    <w:p>
      <w:r>
        <w:rPr>
          <w:color w:val="555555"/>
          <w:sz w:val="18"/>
        </w:rPr>
        <w:t xml:space="preserve">AMG-Befugnisverordnung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80 Satz 1 Nummer 1 bis 3 und 4 bis 6, Satz 2 und 5 des Arzneimittelgesetzes, der zuletzt durch Artikel 3 des Gesetzes vom 17. Dezember 2014 (BGBl. I S. 2222) geändert worden ist, in Verbindung mit § 1 Absatz 2 des Zuständigkeitsanpassungsgesetzes vom 16. August 2002 (BGBl. I S. 3165) und dem Organisationserlass vom 17. Dezember 2013 (BGBl. I S. 4310) verordnet das Bundesministerium für Gesundheit auch im Einvernehmen mit dem Bundesministerium für Ernährung und Landwirtschaft:</w:t>
      </w:r>
    </w:p>
    <w:p>
      <w:r>
        <w:rPr>
          <w:color w:val="555555"/>
          <w:sz w:val="17"/>
        </w:rPr>
        <w:t xml:space="preserve">Zitiervorschlag: Eingangsformel AMGBefugV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https://recht.nulegal.eu/gesetze/AMGBefugV/eingangsformel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