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AMGBefugV — Übertragung von Befugnissen</w:t>
      </w:r>
    </w:p>
    <w:p>
      <w:r>
        <w:rPr>
          <w:color w:val="555555"/>
          <w:sz w:val="18"/>
        </w:rPr>
        <w:t xml:space="preserve">AMG-Befugnisverordnung</w:t>
      </w:r>
    </w:p>
    <w:p>
      <w:r>
        <w:rPr>
          <w:color w:val="555555"/>
          <w:sz w:val="18"/>
        </w:rPr>
        <w:t xml:space="preserve">Stand: 19.07.2022 (konsolidierte Textfassung, kein amtliches Inkrafttretensdatum)</w:t>
      </w:r>
    </w:p>
    <w:p>
      <w:r>
        <w:t xml:space="preserve">Die in § 80 Satz 1 Nummer 1 bis 3 und 4 bis 6 des Arzneimittelgesetzes enthaltenen Ermächtigungen zum Erlass von Rechtsverordnungen werden auf das Bundesinstitut für Arzneimittel und Medizinprodukte sowie das Paul-Ehrlich-Institut in der Weise übertragen, dass jede dieser Bundesoberbehörden durch Rechtsverordnung Regelungen für ihren Zuständigkeitsbereich erlässt. Ausgenommen sind Änderungen der auf Grund von § 35 Absatz 1 Nummer 2 und Absatz 2 sowie § 80 Satz 1 Nummer 1 und 2 des Arzneimittelgesetzes erlassenen Therapieallergene-Verordnung in der jeweiligen Fassung.</w:t>
      </w:r>
    </w:p>
    <w:p>
      <w:r>
        <w:rPr>
          <w:color w:val="555555"/>
          <w:sz w:val="17"/>
        </w:rPr>
        <w:t xml:space="preserve">Zitiervorschlag: § 1 AMGBefugV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https://recht.nulegal.eu/gesetze/AMGBefugV/1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